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7876"/>
      </w:tblGrid>
      <w:tr w:rsidR="00523E0D" w:rsidTr="00523E0D">
        <w:trPr>
          <w:trHeight w:val="9038"/>
        </w:trPr>
        <w:tc>
          <w:tcPr>
            <w:tcW w:w="2862" w:type="dxa"/>
            <w:vMerge w:val="restart"/>
          </w:tcPr>
          <w:p w:rsidR="00523E0D" w:rsidRPr="00D949B5" w:rsidRDefault="00523E0D" w:rsidP="009863C7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E93E0F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Our </w:t>
            </w:r>
            <w:r w:rsidR="009863C7" w:rsidRPr="00E93E0F">
              <w:rPr>
                <w:rFonts w:ascii="Arial" w:hAnsi="Arial" w:cs="Arial"/>
                <w:color w:val="000000" w:themeColor="text1"/>
                <w:sz w:val="28"/>
                <w:szCs w:val="32"/>
              </w:rPr>
              <w:t>aim</w:t>
            </w:r>
            <w:r w:rsidRPr="00E93E0F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 is to provide an outstanding water service</w:t>
            </w:r>
            <w:r w:rsidR="00F86312" w:rsidRPr="00E93E0F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 to our customers</w:t>
            </w:r>
            <w:r w:rsidRPr="00E93E0F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 in a way that is </w:t>
            </w:r>
            <w:r w:rsidR="00F81ACC" w:rsidRPr="00E93E0F">
              <w:rPr>
                <w:rFonts w:ascii="Arial" w:hAnsi="Arial" w:cs="Arial"/>
                <w:color w:val="000000" w:themeColor="text1"/>
                <w:sz w:val="28"/>
                <w:szCs w:val="32"/>
              </w:rPr>
              <w:t>energy efficient</w:t>
            </w:r>
            <w:r w:rsidR="000B7CBF" w:rsidRPr="00E93E0F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 and reduces reliance on fossil fuels</w:t>
            </w:r>
            <w:r w:rsidRPr="00E93E0F">
              <w:rPr>
                <w:rFonts w:ascii="Arial" w:hAnsi="Arial" w:cs="Arial"/>
                <w:color w:val="000000" w:themeColor="text1"/>
                <w:sz w:val="28"/>
                <w:szCs w:val="32"/>
              </w:rPr>
              <w:t>.</w:t>
            </w:r>
          </w:p>
        </w:tc>
        <w:tc>
          <w:tcPr>
            <w:tcW w:w="8126" w:type="dxa"/>
          </w:tcPr>
          <w:p w:rsidR="00F81ACC" w:rsidRPr="00F81ACC" w:rsidRDefault="00FC4A77" w:rsidP="00FC4A77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This Energy Management Policy will </w:t>
            </w:r>
            <w:r w:rsidR="00CC6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ensure that </w:t>
            </w:r>
            <w:r w:rsidR="00A8470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energy </w:t>
            </w:r>
            <w:r w:rsidR="00CC6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is used carefully and efficiently for </w:t>
            </w:r>
            <w:r w:rsidR="00A8470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all activities across the business.</w:t>
            </w:r>
          </w:p>
          <w:p w:rsidR="00F81ACC" w:rsidRPr="00E93E0F" w:rsidRDefault="00F81ACC" w:rsidP="00FC4A7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</w:pPr>
          </w:p>
          <w:p w:rsidR="00C924EF" w:rsidRPr="00E93E0F" w:rsidRDefault="00F81ACC" w:rsidP="00FC4A77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We are committed to managing our energy </w:t>
            </w:r>
            <w:r w:rsidR="00A84700"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use </w:t>
            </w: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="00A84700"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the most efficient ways possible. To ensure this we will:</w:t>
            </w:r>
          </w:p>
          <w:p w:rsidR="00F81ACC" w:rsidRPr="00E93E0F" w:rsidRDefault="00F81ACC" w:rsidP="00FC4A7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Improve the efficiency of our operational pumping plant and processes.</w:t>
            </w:r>
          </w:p>
          <w:p w:rsidR="00F81ACC" w:rsidRPr="00E93E0F" w:rsidRDefault="00F81ACC" w:rsidP="00FC4A7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Minimise the cost of</w:t>
            </w:r>
            <w:r w:rsidR="00A84700"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fuel and</w:t>
            </w: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power purchased </w:t>
            </w:r>
            <w:r w:rsidR="00A84700"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for company operations</w:t>
            </w: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F81ACC" w:rsidRPr="00E93E0F" w:rsidRDefault="00A84700" w:rsidP="00FC4A7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Maintain</w:t>
            </w:r>
            <w:r w:rsidR="00F81ACC"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a process of continual energy use review and improvement throughout the business.</w:t>
            </w:r>
          </w:p>
          <w:p w:rsidR="00F81ACC" w:rsidRPr="00F81ACC" w:rsidRDefault="00F81ACC" w:rsidP="00FC4A7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Make all company staff aware of their responsibility to identify energy efficiency opportunities.</w:t>
            </w:r>
          </w:p>
          <w:p w:rsidR="00F81ACC" w:rsidRDefault="00F81ACC" w:rsidP="00FC4A7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Comply with </w:t>
            </w:r>
            <w:r w:rsidR="00A3072B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relevant 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statutory requirements relating to energy use and efficiency.</w:t>
            </w:r>
          </w:p>
          <w:p w:rsidR="00C924EF" w:rsidRPr="00F81ACC" w:rsidRDefault="00C924EF" w:rsidP="00FC4A7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Provide the resources and systems required to deliver the policy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F81ACC" w:rsidRPr="00E93E0F" w:rsidRDefault="00F81ACC" w:rsidP="00FC4A7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</w:pPr>
          </w:p>
          <w:p w:rsidR="00F81ACC" w:rsidRPr="00E93E0F" w:rsidRDefault="00F81ACC" w:rsidP="00FC4A77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We will achieve this by:</w:t>
            </w:r>
          </w:p>
          <w:p w:rsidR="00F81ACC" w:rsidRPr="00E93E0F" w:rsidRDefault="00F81ACC" w:rsidP="00FC4A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Maintaining an internal </w:t>
            </w:r>
            <w:r w:rsidR="00CC65DA"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</w:t>
            </w: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nergy </w:t>
            </w:r>
            <w:r w:rsidR="00CC65DA"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</w:t>
            </w: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anagement system compliant with ISO 50001.</w:t>
            </w:r>
          </w:p>
          <w:p w:rsidR="00F81ACC" w:rsidRDefault="00F81ACC" w:rsidP="00FC4A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Having </w:t>
            </w:r>
            <w:r w:rsidR="00CC65DA"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an Energy Management Steering Group to</w:t>
            </w: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monitor and report on energy 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use and costs.</w:t>
            </w:r>
          </w:p>
          <w:p w:rsidR="00F81ACC" w:rsidRPr="00F81ACC" w:rsidRDefault="00F81ACC" w:rsidP="00FC4A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Setting overall minimum energy performance standards for pumping plant operating efficiency. </w:t>
            </w:r>
          </w:p>
          <w:p w:rsidR="00F81ACC" w:rsidRDefault="00F81ACC" w:rsidP="00FC4A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Reviewing and improving performance of treatment plant to minimise power and chemical use.</w:t>
            </w:r>
          </w:p>
          <w:p w:rsidR="00C27EC8" w:rsidRPr="006B4B02" w:rsidRDefault="00727C7A" w:rsidP="00FC4A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Promote</w:t>
            </w:r>
            <w:r w:rsidR="00C27EC8" w:rsidRPr="006B4B0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energy improvement in the design of new projects</w:t>
            </w:r>
            <w:r w:rsidR="006B4B02" w:rsidRPr="006B4B0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F81ACC" w:rsidRPr="00F81ACC" w:rsidRDefault="00F81ACC" w:rsidP="00FC4A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Ensuring energy is purchased from </w:t>
            </w:r>
            <w:r w:rsidR="005E034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our suppliers</w:t>
            </w:r>
            <w:r w:rsidR="00727C7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at the most sustainable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rates.</w:t>
            </w:r>
          </w:p>
          <w:p w:rsidR="00F81ACC" w:rsidRPr="00E93E0F" w:rsidRDefault="00F81ACC" w:rsidP="00FC4A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Impl</w:t>
            </w:r>
            <w:r w:rsidR="00CC65DA"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ementing </w:t>
            </w: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processes to optimise system operation and minimise use of high energy use sources.</w:t>
            </w:r>
          </w:p>
          <w:p w:rsidR="00F86312" w:rsidRPr="00E93E0F" w:rsidRDefault="00F86312" w:rsidP="00FC4A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Actively seeking out opportunities to be involved in schemes which require us to be more flexible around how we use our energy.  </w:t>
            </w:r>
          </w:p>
          <w:p w:rsidR="00F81ACC" w:rsidRPr="00E93E0F" w:rsidRDefault="00C27EC8" w:rsidP="00FC4A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Maintaining a </w:t>
            </w:r>
            <w:r w:rsidR="00F81ACC"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programme of plant investigation, optimisation and investment plans.</w:t>
            </w:r>
          </w:p>
          <w:p w:rsidR="00882CDF" w:rsidRPr="00E93E0F" w:rsidRDefault="00882CDF" w:rsidP="00FC4A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Reviewing and improving performance of  our fleet to reduce fuel consumption</w:t>
            </w:r>
          </w:p>
          <w:p w:rsidR="00F81ACC" w:rsidRPr="00F81ACC" w:rsidRDefault="009D01C6" w:rsidP="00FC4A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Training key</w:t>
            </w:r>
            <w:r w:rsidR="00F81ACC" w:rsidRPr="00E93E0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staff to </w:t>
            </w:r>
            <w:r w:rsidR="00F81ACC"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an appropriate level of competency to recognise the need for energy efficiency</w:t>
            </w:r>
            <w:r w:rsidR="00882CD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across the business, including head office</w:t>
            </w:r>
            <w:r w:rsidR="00F81ACC"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F81ACC" w:rsidRPr="00F81ACC" w:rsidRDefault="00F81ACC" w:rsidP="00FC4A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Conducting regular management review to ensure the energy management system is delivering continual improvement, remains fit for purpose and is aligned to all national and business objectives.</w:t>
            </w:r>
          </w:p>
          <w:p w:rsidR="00F81ACC" w:rsidRPr="005F49CC" w:rsidRDefault="00F81ACC" w:rsidP="00FC4A77">
            <w:pPr>
              <w:rPr>
                <w:rFonts w:ascii="Arial" w:eastAsiaTheme="minorHAnsi" w:hAnsi="Arial" w:cs="Arial"/>
                <w:color w:val="000000" w:themeColor="text1"/>
                <w:sz w:val="12"/>
                <w:szCs w:val="20"/>
              </w:rPr>
            </w:pPr>
          </w:p>
          <w:p w:rsidR="000D49EF" w:rsidRDefault="00F81ACC" w:rsidP="00FC4A77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70371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Energy Management </w:t>
            </w:r>
            <w:r w:rsidR="00CC6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Steering Group</w:t>
            </w:r>
            <w:r w:rsidR="0070371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is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responsible for </w:t>
            </w:r>
            <w:r w:rsidR="0070371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ensuring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0371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that energy management systems are compliant </w:t>
            </w:r>
            <w:r w:rsidR="00372EF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with I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SO 50001 </w:t>
            </w:r>
            <w:r w:rsidR="007935D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requirements</w:t>
            </w:r>
            <w:r w:rsidR="0070371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.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The </w:t>
            </w:r>
            <w:r w:rsidR="00CC6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Group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will</w:t>
            </w:r>
            <w:r w:rsidR="0070371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also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C6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set the wider business energy management strategy and 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be responsible for </w:t>
            </w:r>
            <w:r w:rsidR="00703710"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monitoring</w:t>
            </w:r>
            <w:r w:rsidR="0070371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and</w:t>
            </w:r>
            <w:r w:rsidR="00703710"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reporting </w:t>
            </w:r>
            <w:r w:rsidR="00372EF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critical 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energy usage</w:t>
            </w:r>
            <w:r w:rsidR="005E034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.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E034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The Group will support the business</w:t>
            </w:r>
            <w:r w:rsidR="007935D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with progressing opportunities for energy efficiency</w:t>
            </w:r>
            <w:r w:rsidR="00372EF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72EF9" w:rsidRPr="005F49CC" w:rsidRDefault="00372EF9" w:rsidP="00FC4A77">
            <w:pPr>
              <w:rPr>
                <w:rFonts w:ascii="Arial" w:eastAsiaTheme="minorHAnsi" w:hAnsi="Arial" w:cs="Arial"/>
                <w:color w:val="000000" w:themeColor="text1"/>
                <w:sz w:val="12"/>
                <w:szCs w:val="20"/>
              </w:rPr>
            </w:pPr>
          </w:p>
          <w:p w:rsidR="00F81ACC" w:rsidRPr="00F81ACC" w:rsidRDefault="00F81ACC" w:rsidP="00FC4A77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The Finance Team are responsible for optimising and implementing the energy </w:t>
            </w:r>
            <w:r w:rsidR="00F3349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price </w:t>
            </w:r>
            <w:r w:rsidR="005E034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hedging 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strategy. The Procurement Team are responsible for sourcing </w:t>
            </w:r>
            <w:r w:rsidR="00F3349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and purchasing </w:t>
            </w:r>
            <w:r w:rsidR="005E034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energy and </w:t>
            </w:r>
            <w:r w:rsidR="00F3349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other 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products that meet or exceed current relevant energy standards. Where appropriate, organisations that are certified to appropriate ISO standards or equivalent will be our preferred procurement partners. </w:t>
            </w:r>
          </w:p>
          <w:p w:rsidR="00F81ACC" w:rsidRPr="005F49CC" w:rsidRDefault="00F81ACC" w:rsidP="00FC4A77">
            <w:pPr>
              <w:rPr>
                <w:rFonts w:ascii="Arial" w:eastAsiaTheme="minorHAnsi" w:hAnsi="Arial" w:cs="Arial"/>
                <w:color w:val="000000" w:themeColor="text1"/>
                <w:sz w:val="12"/>
                <w:szCs w:val="20"/>
              </w:rPr>
            </w:pPr>
          </w:p>
          <w:p w:rsidR="00523E0D" w:rsidRPr="00E9194D" w:rsidRDefault="00F81ACC" w:rsidP="00FC4A77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23696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Production Director </w:t>
            </w:r>
            <w:r w:rsidR="0026344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will take the lead responsibility in the executive team 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for the implementation of this policy</w:t>
            </w:r>
            <w:r w:rsidR="0026344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F81AC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for communicating the requirements across the business and for ensuring that adequate resources are provided to deliver the commitments set out in the policy.</w:t>
            </w:r>
          </w:p>
        </w:tc>
      </w:tr>
      <w:tr w:rsidR="00523E0D" w:rsidTr="00523E0D">
        <w:tc>
          <w:tcPr>
            <w:tcW w:w="2862" w:type="dxa"/>
            <w:vMerge/>
          </w:tcPr>
          <w:p w:rsidR="00523E0D" w:rsidRPr="00D949B5" w:rsidRDefault="00523E0D" w:rsidP="00D949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6" w:type="dxa"/>
          </w:tcPr>
          <w:p w:rsidR="00F81ACC" w:rsidRPr="00FC4A77" w:rsidRDefault="00F81ACC" w:rsidP="00523E0D">
            <w:pPr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523E0D" w:rsidRPr="000B7CBF" w:rsidRDefault="009863C7" w:rsidP="00523E0D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E6984C" wp14:editId="166D8DCE">
                  <wp:extent cx="1643529" cy="406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5026" t="31369" r="36158" b="42775"/>
                          <a:stretch/>
                        </pic:blipFill>
                        <pic:spPr bwMode="auto">
                          <a:xfrm>
                            <a:off x="0" y="0"/>
                            <a:ext cx="1645091" cy="406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3E0D" w:rsidRPr="00523E0D" w:rsidRDefault="00F86312" w:rsidP="00523E0D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Mel Karam</w:t>
            </w:r>
          </w:p>
          <w:p w:rsidR="00523E0D" w:rsidRPr="00E9194D" w:rsidRDefault="00523E0D" w:rsidP="00523E0D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23E0D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Chief Executive Officer</w:t>
            </w:r>
          </w:p>
        </w:tc>
      </w:tr>
    </w:tbl>
    <w:p w:rsidR="008E6351" w:rsidRPr="00FC4A77" w:rsidRDefault="008E6351" w:rsidP="00F7357F">
      <w:pPr>
        <w:tabs>
          <w:tab w:val="left" w:pos="4180"/>
        </w:tabs>
        <w:rPr>
          <w:rFonts w:ascii="Arial" w:hAnsi="Arial" w:cs="Arial"/>
          <w:sz w:val="16"/>
          <w:szCs w:val="16"/>
        </w:rPr>
      </w:pPr>
    </w:p>
    <w:sectPr w:rsidR="008E6351" w:rsidRPr="00FC4A77" w:rsidSect="009863C7">
      <w:headerReference w:type="default" r:id="rId13"/>
      <w:footerReference w:type="default" r:id="rId14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EE" w:rsidRDefault="00DA03EE" w:rsidP="00E9194D">
      <w:pPr>
        <w:spacing w:line="240" w:lineRule="auto"/>
      </w:pPr>
      <w:r>
        <w:separator/>
      </w:r>
    </w:p>
  </w:endnote>
  <w:endnote w:type="continuationSeparator" w:id="0">
    <w:p w:rsidR="00DA03EE" w:rsidRDefault="00DA03EE" w:rsidP="00E91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6A" w:rsidRDefault="009863C7" w:rsidP="00E9194D">
    <w:pPr>
      <w:jc w:val="right"/>
      <w:rPr>
        <w:rFonts w:ascii="Arial" w:hAnsi="Arial" w:cs="Arial"/>
        <w:b/>
        <w:color w:val="0070C0"/>
        <w:sz w:val="20"/>
        <w:szCs w:val="20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63360" behindDoc="0" locked="0" layoutInCell="1" allowOverlap="1" wp14:anchorId="44422F5D" wp14:editId="3A1FE085">
          <wp:simplePos x="0" y="0"/>
          <wp:positionH relativeFrom="page">
            <wp:posOffset>1</wp:posOffset>
          </wp:positionH>
          <wp:positionV relativeFrom="bottomMargin">
            <wp:posOffset>117728</wp:posOffset>
          </wp:positionV>
          <wp:extent cx="4883150" cy="814452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714" cy="815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96A" w:rsidRPr="00480DE3">
      <w:rPr>
        <w:rFonts w:ascii="Arial" w:hAnsi="Arial" w:cs="Arial"/>
        <w:b/>
        <w:color w:val="0070C0"/>
        <w:sz w:val="20"/>
        <w:szCs w:val="20"/>
      </w:rPr>
      <w:t>www.bristolwater.co.uk</w:t>
    </w:r>
  </w:p>
  <w:p w:rsidR="0023696A" w:rsidRPr="00C24C92" w:rsidRDefault="0023696A" w:rsidP="00E9194D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Energy</w:t>
    </w:r>
    <w:r w:rsidRPr="00C24C92">
      <w:rPr>
        <w:rFonts w:ascii="Arial" w:hAnsi="Arial" w:cs="Arial"/>
        <w:sz w:val="16"/>
        <w:szCs w:val="16"/>
      </w:rPr>
      <w:t xml:space="preserve"> Management Corporate Policy Statement</w:t>
    </w:r>
  </w:p>
  <w:p w:rsidR="0023696A" w:rsidRPr="00C24C92" w:rsidRDefault="0023696A" w:rsidP="00E9194D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CPS0011</w:t>
    </w:r>
    <w:r w:rsidR="00FC4A77">
      <w:rPr>
        <w:rFonts w:ascii="Arial" w:hAnsi="Arial" w:cs="Arial"/>
        <w:sz w:val="16"/>
        <w:szCs w:val="16"/>
      </w:rPr>
      <w:t xml:space="preserve"> / 002</w:t>
    </w:r>
  </w:p>
  <w:p w:rsidR="0023696A" w:rsidRPr="00C24C92" w:rsidRDefault="00C27EC8" w:rsidP="00E9194D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</w:t>
    </w:r>
    <w:r w:rsidR="0023696A">
      <w:rPr>
        <w:rFonts w:ascii="Arial" w:hAnsi="Arial" w:cs="Arial"/>
        <w:sz w:val="16"/>
        <w:szCs w:val="16"/>
      </w:rPr>
      <w:t xml:space="preserve"> </w:t>
    </w:r>
    <w:r w:rsidR="00FC4A77">
      <w:rPr>
        <w:rFonts w:ascii="Arial" w:hAnsi="Arial" w:cs="Arial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EE" w:rsidRDefault="00DA03EE" w:rsidP="00E9194D">
      <w:pPr>
        <w:spacing w:line="240" w:lineRule="auto"/>
      </w:pPr>
      <w:r>
        <w:separator/>
      </w:r>
    </w:p>
  </w:footnote>
  <w:footnote w:type="continuationSeparator" w:id="0">
    <w:p w:rsidR="00DA03EE" w:rsidRDefault="00DA03EE" w:rsidP="00E91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42"/>
      <w:gridCol w:w="3376"/>
    </w:tblGrid>
    <w:tr w:rsidR="0023696A" w:rsidTr="00F86312">
      <w:trPr>
        <w:trHeight w:val="1418"/>
      </w:trPr>
      <w:tc>
        <w:tcPr>
          <w:tcW w:w="7642" w:type="dxa"/>
        </w:tcPr>
        <w:p w:rsidR="0023696A" w:rsidRPr="009863C7" w:rsidRDefault="0023696A" w:rsidP="0029486F">
          <w:pPr>
            <w:pStyle w:val="Header"/>
            <w:rPr>
              <w:rFonts w:ascii="Arial" w:hAnsi="Arial" w:cs="Arial"/>
              <w:b/>
              <w:color w:val="0070C0"/>
              <w:sz w:val="52"/>
              <w:szCs w:val="66"/>
            </w:rPr>
          </w:pPr>
          <w:r w:rsidRPr="009863C7">
            <w:rPr>
              <w:rFonts w:ascii="Arial" w:hAnsi="Arial" w:cs="Arial"/>
              <w:b/>
              <w:color w:val="0070C0"/>
              <w:sz w:val="52"/>
              <w:szCs w:val="66"/>
            </w:rPr>
            <w:t>Energy</w:t>
          </w:r>
        </w:p>
        <w:p w:rsidR="0023696A" w:rsidRDefault="00FC4A77" w:rsidP="0029486F">
          <w:pPr>
            <w:pStyle w:val="Header"/>
            <w:rPr>
              <w:rFonts w:ascii="Arial" w:hAnsi="Arial" w:cs="Arial"/>
              <w:b/>
              <w:color w:val="0070C0"/>
              <w:sz w:val="72"/>
              <w:szCs w:val="72"/>
            </w:rPr>
          </w:pPr>
          <w:r w:rsidRPr="009863C7">
            <w:rPr>
              <w:rFonts w:ascii="Arial" w:hAnsi="Arial" w:cs="Arial"/>
              <w:b/>
              <w:color w:val="0070C0"/>
              <w:sz w:val="52"/>
              <w:szCs w:val="66"/>
            </w:rPr>
            <w:t>efficient</w:t>
          </w:r>
        </w:p>
      </w:tc>
      <w:tc>
        <w:tcPr>
          <w:tcW w:w="3376" w:type="dxa"/>
          <w:vAlign w:val="center"/>
        </w:tcPr>
        <w:p w:rsidR="0023696A" w:rsidRDefault="0023696A" w:rsidP="00D14D02">
          <w:pPr>
            <w:pStyle w:val="Header"/>
            <w:jc w:val="center"/>
            <w:rPr>
              <w:rFonts w:ascii="Arial" w:hAnsi="Arial" w:cs="Arial"/>
              <w:b/>
              <w:color w:val="0070C0"/>
              <w:sz w:val="72"/>
              <w:szCs w:val="72"/>
            </w:rPr>
          </w:pPr>
          <w:r>
            <w:rPr>
              <w:rFonts w:ascii="Arial" w:hAnsi="Arial" w:cs="Arial"/>
              <w:b/>
              <w:noProof/>
              <w:color w:val="0070C0"/>
              <w:sz w:val="72"/>
              <w:szCs w:val="72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27CE6BB0" wp14:editId="35060D8A">
                <wp:simplePos x="5199380" y="35433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976400" cy="806400"/>
                <wp:effectExtent l="0" t="0" r="508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400" cy="80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3696A" w:rsidRPr="00D14D02" w:rsidRDefault="0023696A" w:rsidP="00D14D02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FBB"/>
    <w:multiLevelType w:val="hybridMultilevel"/>
    <w:tmpl w:val="460A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BC2"/>
    <w:multiLevelType w:val="hybridMultilevel"/>
    <w:tmpl w:val="A1468F7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136C"/>
    <w:multiLevelType w:val="hybridMultilevel"/>
    <w:tmpl w:val="9D10F16A"/>
    <w:lvl w:ilvl="0" w:tplc="7682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37AD1"/>
    <w:multiLevelType w:val="hybridMultilevel"/>
    <w:tmpl w:val="E31E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542"/>
    <w:multiLevelType w:val="hybridMultilevel"/>
    <w:tmpl w:val="E124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3AC3"/>
    <w:multiLevelType w:val="hybridMultilevel"/>
    <w:tmpl w:val="8586FA7A"/>
    <w:lvl w:ilvl="0" w:tplc="7682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C3B50"/>
    <w:multiLevelType w:val="hybridMultilevel"/>
    <w:tmpl w:val="5680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879E1"/>
    <w:multiLevelType w:val="hybridMultilevel"/>
    <w:tmpl w:val="88906F28"/>
    <w:lvl w:ilvl="0" w:tplc="78A60AD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4A31"/>
    <w:multiLevelType w:val="hybridMultilevel"/>
    <w:tmpl w:val="87F0A7BE"/>
    <w:lvl w:ilvl="0" w:tplc="D9D677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71BB7"/>
    <w:multiLevelType w:val="hybridMultilevel"/>
    <w:tmpl w:val="D01A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E3"/>
    <w:rsid w:val="000356D6"/>
    <w:rsid w:val="000B7CBF"/>
    <w:rsid w:val="000D49EF"/>
    <w:rsid w:val="00165B66"/>
    <w:rsid w:val="00196C1A"/>
    <w:rsid w:val="001C4EE6"/>
    <w:rsid w:val="002304C4"/>
    <w:rsid w:val="0023696A"/>
    <w:rsid w:val="0025164C"/>
    <w:rsid w:val="0026344C"/>
    <w:rsid w:val="0029486F"/>
    <w:rsid w:val="002A5D56"/>
    <w:rsid w:val="00342A4E"/>
    <w:rsid w:val="00372EF9"/>
    <w:rsid w:val="003E2790"/>
    <w:rsid w:val="0047252A"/>
    <w:rsid w:val="00480DE3"/>
    <w:rsid w:val="00483FB7"/>
    <w:rsid w:val="004F17CB"/>
    <w:rsid w:val="005106B4"/>
    <w:rsid w:val="00523E0D"/>
    <w:rsid w:val="005E0344"/>
    <w:rsid w:val="005E310A"/>
    <w:rsid w:val="005F49CC"/>
    <w:rsid w:val="00622DB9"/>
    <w:rsid w:val="006B4B02"/>
    <w:rsid w:val="00703710"/>
    <w:rsid w:val="00727C7A"/>
    <w:rsid w:val="0076008F"/>
    <w:rsid w:val="007935D3"/>
    <w:rsid w:val="00882CDF"/>
    <w:rsid w:val="008D7358"/>
    <w:rsid w:val="008E6351"/>
    <w:rsid w:val="0091183A"/>
    <w:rsid w:val="009863C7"/>
    <w:rsid w:val="0099711D"/>
    <w:rsid w:val="009D01C6"/>
    <w:rsid w:val="00A3072B"/>
    <w:rsid w:val="00A84700"/>
    <w:rsid w:val="00AC5ED4"/>
    <w:rsid w:val="00C14E44"/>
    <w:rsid w:val="00C24C92"/>
    <w:rsid w:val="00C27EC8"/>
    <w:rsid w:val="00C77364"/>
    <w:rsid w:val="00C924EF"/>
    <w:rsid w:val="00CC65DA"/>
    <w:rsid w:val="00D14D02"/>
    <w:rsid w:val="00D24C14"/>
    <w:rsid w:val="00D33D0A"/>
    <w:rsid w:val="00D51494"/>
    <w:rsid w:val="00D949B5"/>
    <w:rsid w:val="00DA03EE"/>
    <w:rsid w:val="00DB6708"/>
    <w:rsid w:val="00E17C4E"/>
    <w:rsid w:val="00E40636"/>
    <w:rsid w:val="00E9194D"/>
    <w:rsid w:val="00E93E0F"/>
    <w:rsid w:val="00EA18B6"/>
    <w:rsid w:val="00EC685C"/>
    <w:rsid w:val="00ED509D"/>
    <w:rsid w:val="00F33495"/>
    <w:rsid w:val="00F7357F"/>
    <w:rsid w:val="00F81ACC"/>
    <w:rsid w:val="00F86312"/>
    <w:rsid w:val="00FA69AC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D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9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94D"/>
  </w:style>
  <w:style w:type="paragraph" w:styleId="Footer">
    <w:name w:val="footer"/>
    <w:basedOn w:val="Normal"/>
    <w:link w:val="FooterChar"/>
    <w:uiPriority w:val="99"/>
    <w:unhideWhenUsed/>
    <w:rsid w:val="00E919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94D"/>
  </w:style>
  <w:style w:type="paragraph" w:styleId="ListParagraph">
    <w:name w:val="List Paragraph"/>
    <w:basedOn w:val="Normal"/>
    <w:uiPriority w:val="34"/>
    <w:qFormat/>
    <w:rsid w:val="00E9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D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9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94D"/>
  </w:style>
  <w:style w:type="paragraph" w:styleId="Footer">
    <w:name w:val="footer"/>
    <w:basedOn w:val="Normal"/>
    <w:link w:val="FooterChar"/>
    <w:uiPriority w:val="99"/>
    <w:unhideWhenUsed/>
    <w:rsid w:val="00E919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94D"/>
  </w:style>
  <w:style w:type="paragraph" w:styleId="ListParagraph">
    <w:name w:val="List Paragraph"/>
    <w:basedOn w:val="Normal"/>
    <w:uiPriority w:val="34"/>
    <w:qFormat/>
    <w:rsid w:val="00E9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14E7502EDAB4BB030C07F616A0CA3" ma:contentTypeVersion="0" ma:contentTypeDescription="Create a new document." ma:contentTypeScope="" ma:versionID="ad7940c6418fb0585e5ca8dcd3c1ff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AA2C-6E48-4ABF-BD9F-6539AC6E7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99221-9E58-4904-A759-5797AA381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71E20-9CE4-4542-BE05-05306CA20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22D2B-D117-4806-B7BA-2CACA372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Water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Harvey</dc:creator>
  <cp:lastModifiedBy>Katie Cowling</cp:lastModifiedBy>
  <cp:revision>2</cp:revision>
  <cp:lastPrinted>2017-08-16T14:51:00Z</cp:lastPrinted>
  <dcterms:created xsi:type="dcterms:W3CDTF">2017-08-31T07:46:00Z</dcterms:created>
  <dcterms:modified xsi:type="dcterms:W3CDTF">2017-08-31T07:46:00Z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0x010100D5714E7502EDAB4BB030C07F616A0CA3</vt:lpwstr>
  </property>
</Properties>
</file>