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Corporate Description: (for events)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improve the speed &amp; success of digital transformation projects by enabling enterprises -- even extremely complex ones -- to go truly digital. The platform automates and standardize the process of creating digital services - microservices based APIs - so that without changing any backend applications, an organization can move to a fast, agile and robust microservices architecture at a fraction of the time and cost it would take with other solutions. As the name suggests OpenLegacy is extremely potent in scenarios where complex legacy systems are involved. Learn why leading companies choose OpenLegacy at</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www.openlegacy.com</w:t>
        </w:r>
      </w:hyperlink>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Corporate Description (for collateral)</w:t>
      </w:r>
    </w:p>
    <w:p w:rsidR="00000000" w:rsidDel="00000000" w:rsidP="00000000" w:rsidRDefault="00000000" w:rsidRPr="00000000" w14:paraId="00000007">
      <w:pPr>
        <w:rPr/>
      </w:pPr>
      <w:r w:rsidDel="00000000" w:rsidR="00000000" w:rsidRPr="00000000">
        <w:rPr>
          <w:rtl w:val="0"/>
        </w:rPr>
        <w:t xml:space="preserve">OpenLegacy accelerates delivery of innovative digital services from back-end systems in days or weeks versus months. Our microservices-based API integration and management software reduces manual effort by automating API creation, simplifies the process by avoiding layers of complexity, and improves staff efficiency and API performance. Most importantly, this process is not only fast, easy and secure, but also does not require special staff skills or changes to existing systems or architecture. Together, business and IT teams can quickly, easily and securely meet consumer, partner or employee demands for digital services without modernizing or replacing core systems. Learn why leading companies choose OpenLegacy at </w:t>
      </w:r>
      <w:hyperlink r:id="rId8">
        <w:r w:rsidDel="00000000" w:rsidR="00000000" w:rsidRPr="00000000">
          <w:rPr>
            <w:color w:val="1155cc"/>
            <w:u w:val="single"/>
            <w:rtl w:val="0"/>
          </w:rPr>
          <w:t xml:space="preserve">www.openlegacy.com</w:t>
        </w:r>
      </w:hyperlink>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Specifically automatically generates microservice based Api’s integration specifically for Legacy/custom and on prem data/apps for hybrid integration.   Open legacy is different to Mulesoft/apigee etc as it solely focuses on legacy/custom on-prem data/apps that need migrating to cloud or simply to digitise.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openlegacy.com/" TargetMode="External"/><Relationship Id="rId7" Type="http://schemas.openxmlformats.org/officeDocument/2006/relationships/hyperlink" Target="http://www.openlegacy.com/" TargetMode="External"/><Relationship Id="rId8" Type="http://schemas.openxmlformats.org/officeDocument/2006/relationships/hyperlink" Target="http://www.openlega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