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highlight w:val="cyan"/>
        </w:rPr>
      </w:pPr>
      <w:r w:rsidDel="00000000" w:rsidR="00000000" w:rsidRPr="00000000">
        <w:rPr>
          <w:rFonts w:ascii="Roboto" w:cs="Roboto" w:eastAsia="Roboto" w:hAnsi="Roboto"/>
          <w:b w:val="1"/>
          <w:highlight w:val="cyan"/>
          <w:rtl w:val="0"/>
        </w:rPr>
        <w:t xml:space="preserve">NOMBRE DE LA EMPRESA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POLÍTICA DEL SGSI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Sistema de Gestión de Seguridad de la Información</w:t>
      </w:r>
    </w:p>
    <w:p w:rsidR="00000000" w:rsidDel="00000000" w:rsidP="00000000" w:rsidRDefault="00000000" w:rsidRPr="00000000" w14:paraId="00000008">
      <w:pPr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La empresa se compromete a preservar la confidencialidad, integridad y disponibilidad de los activos de información, para lo cual se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asignarán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los recursos necesarios para el SGSI, procurando el cumplimiento de los requisitos legales y organizacionales. 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También tratará los riesgos de seguridad de la información estableciendo los controles de seguridad de acuerdo con sus necesidades y las mejores prácticas de la industria enfocándose en la protección de todos los activos de la información sin importar su formato, teniendo como base fundamental la mejora continua y apoyándose en un talento humano competitivo.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