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b w:val="1"/>
          <w:highlight w:val="cyan"/>
        </w:rPr>
      </w:pPr>
      <w:r w:rsidDel="00000000" w:rsidR="00000000" w:rsidRPr="00000000">
        <w:rPr>
          <w:rFonts w:ascii="Roboto" w:cs="Roboto" w:eastAsia="Roboto" w:hAnsi="Roboto"/>
          <w:b w:val="1"/>
          <w:highlight w:val="cyan"/>
          <w:rtl w:val="0"/>
        </w:rPr>
        <w:t xml:space="preserve">NOMBRE DE LA EMPRESA</w:t>
      </w:r>
    </w:p>
    <w:p w:rsidR="00000000" w:rsidDel="00000000" w:rsidP="00000000" w:rsidRDefault="00000000" w:rsidRPr="00000000" w14:paraId="00000004">
      <w:pPr>
        <w:jc w:val="center"/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POLÍTICA DEL SGSI</w:t>
      </w:r>
    </w:p>
    <w:p w:rsidR="00000000" w:rsidDel="00000000" w:rsidP="00000000" w:rsidRDefault="00000000" w:rsidRPr="00000000" w14:paraId="00000007">
      <w:pPr>
        <w:jc w:val="center"/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Sistema de Gestión de Seguridad de la Información</w:t>
      </w:r>
    </w:p>
    <w:p w:rsidR="00000000" w:rsidDel="00000000" w:rsidP="00000000" w:rsidRDefault="00000000" w:rsidRPr="00000000" w14:paraId="00000008">
      <w:pPr>
        <w:jc w:val="center"/>
        <w:rPr>
          <w:rFonts w:ascii="Roboto" w:cs="Roboto" w:eastAsia="Roboto" w:hAnsi="Roboto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La empresa se compromete a preservar la confidencialidad, integridad y disponibilidad de los activos de información, para lo cual se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asignarán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los recursos necesarios para el SGSI, procurando el cumplimiento de los requisitos legales y organizacionales. 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También tratará los riesgos de seguridad de la información estableciendo los controles de seguridad de acuerdo con sus necesidades y las mejores prácticas de la industria enfocándose en la protección de todos los activos de la información sin importar su formato, teniendo como base fundamental la mejora continua y apoyándose en un talento humano competitivo.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