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7B87" w14:textId="77777777" w:rsidR="005A004A" w:rsidRPr="00F63DC9" w:rsidRDefault="005A004A" w:rsidP="005A004A">
      <w:pPr>
        <w:jc w:val="both"/>
        <w:rPr>
          <w:rFonts w:asciiTheme="minorHAnsi" w:hAnsiTheme="minorHAnsi" w:cstheme="minorHAnsi"/>
          <w:b/>
          <w:u w:val="single"/>
        </w:rPr>
      </w:pPr>
      <w:r w:rsidRPr="00F63DC9">
        <w:rPr>
          <w:rFonts w:asciiTheme="minorHAnsi" w:hAnsiTheme="minorHAnsi" w:cstheme="minorHAnsi"/>
          <w:b/>
          <w:u w:val="single"/>
        </w:rPr>
        <w:t>Name of Applicant</w:t>
      </w:r>
    </w:p>
    <w:p w14:paraId="706FCC0C" w14:textId="77777777" w:rsidR="005A004A" w:rsidRPr="00F63DC9" w:rsidRDefault="005A004A" w:rsidP="005A004A">
      <w:pPr>
        <w:jc w:val="both"/>
        <w:rPr>
          <w:rFonts w:asciiTheme="minorHAnsi" w:hAnsiTheme="minorHAnsi" w:cstheme="minorHAnsi"/>
        </w:rPr>
      </w:pPr>
    </w:p>
    <w:p w14:paraId="0BF3D8AE" w14:textId="41EC3B4B" w:rsidR="005A004A" w:rsidRPr="00F63DC9" w:rsidRDefault="005A004A" w:rsidP="005A004A">
      <w:pPr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  <w:highlight w:val="yellow"/>
        </w:rPr>
        <w:t>Filer name</w:t>
      </w:r>
      <w:r w:rsidRPr="00F63DC9">
        <w:rPr>
          <w:rFonts w:asciiTheme="minorHAnsi" w:hAnsiTheme="minorHAnsi" w:cstheme="minorHAnsi"/>
        </w:rPr>
        <w:t xml:space="preserve"> (hereinafter referred to as the “Applicant”) is requesting to make this change in accounting method for the tax year ended </w:t>
      </w:r>
      <w:r w:rsidRPr="00F63DC9">
        <w:rPr>
          <w:rFonts w:asciiTheme="minorHAnsi" w:hAnsiTheme="minorHAnsi" w:cstheme="minorHAnsi"/>
          <w:highlight w:val="magenta"/>
        </w:rPr>
        <w:t>December 31, 20</w:t>
      </w:r>
      <w:r w:rsidR="001844B2">
        <w:rPr>
          <w:rFonts w:asciiTheme="minorHAnsi" w:hAnsiTheme="minorHAnsi" w:cstheme="minorHAnsi"/>
          <w:highlight w:val="magenta"/>
        </w:rPr>
        <w:t>20</w:t>
      </w:r>
      <w:r w:rsidRPr="00F63DC9">
        <w:rPr>
          <w:rFonts w:asciiTheme="minorHAnsi" w:hAnsiTheme="minorHAnsi" w:cstheme="minorHAnsi"/>
        </w:rPr>
        <w:t>:</w:t>
      </w:r>
    </w:p>
    <w:p w14:paraId="5D883B9E" w14:textId="77777777" w:rsidR="00F517BF" w:rsidRPr="00F63DC9" w:rsidRDefault="00F517BF" w:rsidP="00F517BF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708"/>
        <w:gridCol w:w="2964"/>
        <w:gridCol w:w="3516"/>
      </w:tblGrid>
      <w:tr w:rsidR="005A004A" w:rsidRPr="00F63DC9" w14:paraId="2F5E87D8" w14:textId="77777777" w:rsidTr="00527413">
        <w:tc>
          <w:tcPr>
            <w:tcW w:w="3708" w:type="dxa"/>
          </w:tcPr>
          <w:p w14:paraId="36D6D3DF" w14:textId="77777777" w:rsidR="005A004A" w:rsidRPr="00F63DC9" w:rsidRDefault="005A004A" w:rsidP="00527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3DC9">
              <w:rPr>
                <w:rFonts w:asciiTheme="minorHAnsi" w:hAnsiTheme="minorHAnsi" w:cstheme="minorHAnsi"/>
                <w:b/>
              </w:rPr>
              <w:t>Applicant</w:t>
            </w:r>
          </w:p>
        </w:tc>
        <w:tc>
          <w:tcPr>
            <w:tcW w:w="2964" w:type="dxa"/>
          </w:tcPr>
          <w:p w14:paraId="6A8ADEF6" w14:textId="77777777" w:rsidR="005A004A" w:rsidRPr="00F63DC9" w:rsidRDefault="005A004A" w:rsidP="00527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3DC9">
              <w:rPr>
                <w:rFonts w:asciiTheme="minorHAnsi" w:hAnsiTheme="minorHAnsi" w:cstheme="minorHAnsi"/>
                <w:b/>
              </w:rPr>
              <w:t>EIN</w:t>
            </w:r>
          </w:p>
        </w:tc>
        <w:tc>
          <w:tcPr>
            <w:tcW w:w="3516" w:type="dxa"/>
          </w:tcPr>
          <w:p w14:paraId="6C98721C" w14:textId="77777777" w:rsidR="005A004A" w:rsidRPr="00F63DC9" w:rsidRDefault="005A004A" w:rsidP="00527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3DC9">
              <w:rPr>
                <w:rFonts w:asciiTheme="minorHAnsi" w:hAnsiTheme="minorHAnsi" w:cstheme="minorHAnsi"/>
                <w:b/>
              </w:rPr>
              <w:t>Principal Business Activity Code</w:t>
            </w:r>
          </w:p>
        </w:tc>
      </w:tr>
      <w:tr w:rsidR="005A004A" w:rsidRPr="00F63DC9" w14:paraId="04A2662D" w14:textId="77777777" w:rsidTr="00527413">
        <w:tc>
          <w:tcPr>
            <w:tcW w:w="3708" w:type="dxa"/>
          </w:tcPr>
          <w:p w14:paraId="588E440E" w14:textId="77777777" w:rsidR="005A004A" w:rsidRPr="00F63DC9" w:rsidRDefault="005A004A" w:rsidP="0052741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63DC9">
              <w:rPr>
                <w:rFonts w:asciiTheme="minorHAnsi" w:hAnsiTheme="minorHAnsi" w:cstheme="minorHAnsi"/>
                <w:highlight w:val="yellow"/>
              </w:rPr>
              <w:t>FILER / LEGAL ENTITY NAME</w:t>
            </w:r>
          </w:p>
        </w:tc>
        <w:tc>
          <w:tcPr>
            <w:tcW w:w="2964" w:type="dxa"/>
          </w:tcPr>
          <w:p w14:paraId="64D5BE13" w14:textId="77777777" w:rsidR="005A004A" w:rsidRPr="00F63DC9" w:rsidRDefault="005A004A" w:rsidP="0052741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63DC9">
              <w:rPr>
                <w:rFonts w:asciiTheme="minorHAnsi" w:hAnsiTheme="minorHAnsi" w:cstheme="minorHAnsi"/>
                <w:highlight w:val="yellow"/>
              </w:rPr>
              <w:t>XX-XXXXXXX</w:t>
            </w:r>
          </w:p>
        </w:tc>
        <w:tc>
          <w:tcPr>
            <w:tcW w:w="3516" w:type="dxa"/>
          </w:tcPr>
          <w:p w14:paraId="76E9DBCE" w14:textId="77777777" w:rsidR="005A004A" w:rsidRPr="00F63DC9" w:rsidRDefault="005A004A" w:rsidP="0052741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63DC9">
              <w:rPr>
                <w:rFonts w:asciiTheme="minorHAnsi" w:hAnsiTheme="minorHAnsi" w:cstheme="minorHAnsi"/>
                <w:highlight w:val="yellow"/>
              </w:rPr>
              <w:t>XXXXXX</w:t>
            </w:r>
          </w:p>
        </w:tc>
      </w:tr>
    </w:tbl>
    <w:p w14:paraId="7BFA8108" w14:textId="77777777" w:rsidR="00EA356C" w:rsidRPr="00F63DC9" w:rsidRDefault="00EA356C" w:rsidP="004D54CA">
      <w:pPr>
        <w:jc w:val="both"/>
        <w:rPr>
          <w:rFonts w:asciiTheme="minorHAnsi" w:hAnsiTheme="minorHAnsi" w:cstheme="minorHAnsi"/>
        </w:rPr>
      </w:pPr>
    </w:p>
    <w:p w14:paraId="35FFDAED" w14:textId="77777777" w:rsidR="00AA6DD3" w:rsidRPr="00F63DC9" w:rsidRDefault="00AA6DD3" w:rsidP="00AA6DD3">
      <w:pPr>
        <w:jc w:val="both"/>
        <w:rPr>
          <w:rFonts w:asciiTheme="minorHAnsi" w:hAnsiTheme="minorHAnsi" w:cstheme="minorHAnsi"/>
          <w:b/>
          <w:u w:val="single"/>
        </w:rPr>
      </w:pPr>
      <w:r w:rsidRPr="00F63DC9">
        <w:rPr>
          <w:rFonts w:asciiTheme="minorHAnsi" w:hAnsiTheme="minorHAnsi" w:cstheme="minorHAnsi"/>
          <w:b/>
          <w:u w:val="single"/>
        </w:rPr>
        <w:t>Form 3115, Page 1 Type of Accounting Method Change and Miscellaneous Information</w:t>
      </w:r>
    </w:p>
    <w:p w14:paraId="337E8752" w14:textId="77777777" w:rsidR="00AA6DD3" w:rsidRPr="00F63DC9" w:rsidRDefault="00AA6DD3" w:rsidP="00AA6DD3">
      <w:pPr>
        <w:jc w:val="both"/>
        <w:rPr>
          <w:rFonts w:asciiTheme="minorHAnsi" w:hAnsiTheme="minorHAnsi" w:cstheme="minorHAnsi"/>
          <w:b/>
          <w:u w:val="single"/>
        </w:rPr>
      </w:pPr>
    </w:p>
    <w:p w14:paraId="181A2ABC" w14:textId="3752AE70" w:rsidR="00AA6DD3" w:rsidRPr="00F63DC9" w:rsidRDefault="00AA6DD3" w:rsidP="00AA6DD3">
      <w:pPr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The Applicant is requesting automatic change in accounting method Nos. 184for the current taxable period ending </w:t>
      </w:r>
      <w:r w:rsidR="00BF2CED" w:rsidRPr="00F63DC9">
        <w:rPr>
          <w:rFonts w:asciiTheme="minorHAnsi" w:hAnsiTheme="minorHAnsi" w:cstheme="minorHAnsi"/>
          <w:highlight w:val="magenta"/>
        </w:rPr>
        <w:t>December 31, 20</w:t>
      </w:r>
      <w:r w:rsidR="001844B2">
        <w:rPr>
          <w:rFonts w:asciiTheme="minorHAnsi" w:hAnsiTheme="minorHAnsi" w:cstheme="minorHAnsi"/>
          <w:highlight w:val="magenta"/>
        </w:rPr>
        <w:t>20</w:t>
      </w:r>
      <w:r w:rsidRPr="00F63DC9">
        <w:rPr>
          <w:rFonts w:asciiTheme="minorHAnsi" w:hAnsiTheme="minorHAnsi" w:cstheme="minorHAnsi"/>
        </w:rPr>
        <w:t>, as described below:</w:t>
      </w:r>
    </w:p>
    <w:p w14:paraId="3EE62EE3" w14:textId="77777777" w:rsidR="00AA6DD3" w:rsidRPr="00F63DC9" w:rsidRDefault="00AA6DD3" w:rsidP="00AA6DD3">
      <w:pPr>
        <w:jc w:val="both"/>
        <w:rPr>
          <w:rFonts w:asciiTheme="minorHAnsi" w:hAnsiTheme="minorHAnsi" w:cstheme="minorHAnsi"/>
        </w:rPr>
      </w:pPr>
    </w:p>
    <w:p w14:paraId="3A6B67F4" w14:textId="613937AD" w:rsidR="00AA6DD3" w:rsidRPr="00F63DC9" w:rsidRDefault="00AA6DD3" w:rsidP="008139E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>Method No. 184: A change to deducting amounts paid or incurred for repair and maintenance in accordance with §1.162-4, including a change, if any, in identifying the unit of property under §1.263(a)-3(e) or, in the case of a building, identifying the building structure or building systems under §1.263(a)-3(e)(2) for purposes of making the change to deducting the amounts.</w:t>
      </w:r>
      <w:r w:rsidR="00615029" w:rsidRPr="00F63DC9">
        <w:rPr>
          <w:rFonts w:asciiTheme="minorHAnsi" w:hAnsiTheme="minorHAnsi" w:cstheme="minorHAnsi"/>
        </w:rPr>
        <w:t xml:space="preserve"> </w:t>
      </w:r>
      <w:r w:rsidR="00615029" w:rsidRPr="00F63DC9">
        <w:rPr>
          <w:rFonts w:asciiTheme="minorHAnsi" w:hAnsiTheme="minorHAnsi" w:cstheme="minorHAnsi"/>
          <w:highlight w:val="red"/>
        </w:rPr>
        <w:t>The Applicant improperly capitalized general building maintenance and repair projects performed prior to the current tax year when treatment as immediately ded</w:t>
      </w:r>
      <w:r w:rsidR="002A23A6" w:rsidRPr="00F63DC9">
        <w:rPr>
          <w:rFonts w:asciiTheme="minorHAnsi" w:hAnsiTheme="minorHAnsi" w:cstheme="minorHAnsi"/>
          <w:highlight w:val="red"/>
        </w:rPr>
        <w:t>uctible repairs is appropriate.</w:t>
      </w:r>
      <w:r w:rsidR="008139EE" w:rsidRPr="00F63DC9">
        <w:rPr>
          <w:rFonts w:asciiTheme="minorHAnsi" w:hAnsiTheme="minorHAnsi" w:cstheme="minorHAnsi"/>
        </w:rPr>
        <w:t xml:space="preserve"> The Applicant calculated a §481(a) adjustment to correct such treatment.</w:t>
      </w:r>
    </w:p>
    <w:p w14:paraId="64FF10BB" w14:textId="77777777" w:rsidR="00463809" w:rsidRPr="00F63DC9" w:rsidRDefault="00463809" w:rsidP="00996A86">
      <w:pPr>
        <w:autoSpaceDE w:val="0"/>
        <w:autoSpaceDN w:val="0"/>
        <w:adjustRightInd w:val="0"/>
        <w:spacing w:line="245" w:lineRule="exact"/>
        <w:ind w:left="40" w:right="-20"/>
        <w:rPr>
          <w:rFonts w:asciiTheme="minorHAnsi" w:hAnsiTheme="minorHAnsi" w:cstheme="minorHAnsi"/>
        </w:rPr>
      </w:pPr>
    </w:p>
    <w:p w14:paraId="547A1A83" w14:textId="6B7A9CB8" w:rsidR="00C7075B" w:rsidRPr="00F63DC9" w:rsidRDefault="00996A86" w:rsidP="00747978">
      <w:pPr>
        <w:autoSpaceDE w:val="0"/>
        <w:autoSpaceDN w:val="0"/>
        <w:adjustRightInd w:val="0"/>
        <w:spacing w:line="245" w:lineRule="exact"/>
        <w:ind w:right="-20"/>
        <w:jc w:val="both"/>
        <w:rPr>
          <w:rFonts w:asciiTheme="minorHAnsi" w:eastAsiaTheme="minorHAnsi" w:hAnsiTheme="minorHAnsi" w:cstheme="minorHAnsi"/>
        </w:rPr>
      </w:pPr>
      <w:r w:rsidRPr="00F63DC9">
        <w:rPr>
          <w:rFonts w:asciiTheme="minorHAnsi" w:hAnsiTheme="minorHAnsi" w:cstheme="minorHAnsi"/>
        </w:rPr>
        <w:t>As req</w:t>
      </w:r>
      <w:r w:rsidR="00960E13" w:rsidRPr="00F63DC9">
        <w:rPr>
          <w:rFonts w:asciiTheme="minorHAnsi" w:hAnsiTheme="minorHAnsi" w:cstheme="minorHAnsi"/>
        </w:rPr>
        <w:t>uired by Rev. Proc. 201</w:t>
      </w:r>
      <w:r w:rsidR="00924A8B">
        <w:rPr>
          <w:rFonts w:asciiTheme="minorHAnsi" w:hAnsiTheme="minorHAnsi" w:cstheme="minorHAnsi"/>
        </w:rPr>
        <w:t>9-43</w:t>
      </w:r>
      <w:r w:rsidRPr="00F63DC9">
        <w:rPr>
          <w:rFonts w:asciiTheme="minorHAnsi" w:hAnsiTheme="minorHAnsi" w:cstheme="minorHAnsi"/>
        </w:rPr>
        <w:t xml:space="preserve">, the Applicant is </w:t>
      </w:r>
      <w:r w:rsidRPr="00F63DC9">
        <w:rPr>
          <w:rFonts w:asciiTheme="minorHAnsi" w:eastAsiaTheme="minorHAnsi" w:hAnsiTheme="minorHAnsi" w:cstheme="minorHAnsi"/>
          <w:bCs/>
        </w:rPr>
        <w:t>i</w:t>
      </w:r>
      <w:r w:rsidRPr="00F63DC9">
        <w:rPr>
          <w:rFonts w:asciiTheme="minorHAnsi" w:eastAsiaTheme="minorHAnsi" w:hAnsiTheme="minorHAnsi" w:cstheme="minorHAnsi"/>
          <w:bCs/>
          <w:spacing w:val="-1"/>
        </w:rPr>
        <w:t>n</w:t>
      </w:r>
      <w:r w:rsidRPr="00F63DC9">
        <w:rPr>
          <w:rFonts w:asciiTheme="minorHAnsi" w:eastAsiaTheme="minorHAnsi" w:hAnsiTheme="minorHAnsi" w:cstheme="minorHAnsi"/>
          <w:bCs/>
        </w:rPr>
        <w:t>cluding the follo</w:t>
      </w:r>
      <w:r w:rsidRPr="00F63DC9">
        <w:rPr>
          <w:rFonts w:asciiTheme="minorHAnsi" w:eastAsiaTheme="minorHAnsi" w:hAnsiTheme="minorHAnsi" w:cstheme="minorHAnsi"/>
          <w:bCs/>
          <w:spacing w:val="-2"/>
        </w:rPr>
        <w:t>w</w:t>
      </w:r>
      <w:r w:rsidRPr="00F63DC9">
        <w:rPr>
          <w:rFonts w:asciiTheme="minorHAnsi" w:eastAsiaTheme="minorHAnsi" w:hAnsiTheme="minorHAnsi" w:cstheme="minorHAnsi"/>
          <w:bCs/>
          <w:spacing w:val="1"/>
        </w:rPr>
        <w:t>i</w:t>
      </w:r>
      <w:r w:rsidRPr="00F63DC9">
        <w:rPr>
          <w:rFonts w:asciiTheme="minorHAnsi" w:eastAsiaTheme="minorHAnsi" w:hAnsiTheme="minorHAnsi" w:cstheme="minorHAnsi"/>
          <w:bCs/>
        </w:rPr>
        <w:t xml:space="preserve">ng method changes, </w:t>
      </w:r>
      <w:proofErr w:type="gramStart"/>
      <w:r w:rsidRPr="00F63DC9">
        <w:rPr>
          <w:rFonts w:asciiTheme="minorHAnsi" w:eastAsiaTheme="minorHAnsi" w:hAnsiTheme="minorHAnsi" w:cstheme="minorHAnsi"/>
          <w:bCs/>
        </w:rPr>
        <w:t>descriptions</w:t>
      </w:r>
      <w:proofErr w:type="gramEnd"/>
      <w:r w:rsidRPr="00F63DC9">
        <w:rPr>
          <w:rFonts w:asciiTheme="minorHAnsi" w:eastAsiaTheme="minorHAnsi" w:hAnsiTheme="minorHAnsi" w:cstheme="minorHAnsi"/>
          <w:bCs/>
        </w:rPr>
        <w:t xml:space="preserve"> and regulation citations:</w:t>
      </w:r>
    </w:p>
    <w:tbl>
      <w:tblPr>
        <w:tblW w:w="98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2329"/>
        <w:gridCol w:w="1469"/>
      </w:tblGrid>
      <w:tr w:rsidR="00996A86" w:rsidRPr="00F63DC9" w14:paraId="297B3C75" w14:textId="77777777" w:rsidTr="00822790">
        <w:trPr>
          <w:trHeight w:hRule="exact" w:val="5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70E6" w14:textId="68728859" w:rsidR="00996A86" w:rsidRPr="00F63DC9" w:rsidRDefault="00996A86" w:rsidP="00822790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b/>
                <w:bCs/>
              </w:rPr>
              <w:t xml:space="preserve">TPR Subject Matter </w:t>
            </w:r>
            <w:r w:rsidRPr="00F63DC9">
              <w:rPr>
                <w:rFonts w:asciiTheme="minorHAnsi" w:eastAsiaTheme="minorHAnsi" w:hAnsiTheme="minorHAnsi" w:cstheme="minorHAnsi"/>
                <w:b/>
                <w:bCs/>
                <w:spacing w:val="-1"/>
              </w:rPr>
              <w:t>o</w:t>
            </w:r>
            <w:r w:rsidRPr="00F63DC9">
              <w:rPr>
                <w:rFonts w:asciiTheme="minorHAnsi" w:eastAsiaTheme="minorHAnsi" w:hAnsiTheme="minorHAnsi" w:cstheme="minorHAnsi"/>
                <w:b/>
                <w:bCs/>
              </w:rPr>
              <w:t>r Issue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1A6A" w14:textId="77777777" w:rsidR="00996A86" w:rsidRPr="00F63DC9" w:rsidRDefault="00996A86" w:rsidP="00822790">
            <w:pPr>
              <w:autoSpaceDE w:val="0"/>
              <w:autoSpaceDN w:val="0"/>
              <w:adjustRightInd w:val="0"/>
              <w:ind w:left="381" w:right="320" w:firstLine="144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b/>
                <w:bCs/>
              </w:rPr>
              <w:t>Citation to TPR Regulation</w:t>
            </w:r>
            <w:r w:rsidRPr="00F63DC9">
              <w:rPr>
                <w:rFonts w:asciiTheme="minorHAnsi" w:eastAsiaTheme="minorHAnsi" w:hAnsiTheme="minorHAnsi" w:cstheme="minorHAnsi"/>
                <w:b/>
                <w:bCs/>
                <w:spacing w:val="-1"/>
              </w:rPr>
              <w:t xml:space="preserve"> </w:t>
            </w:r>
            <w:r w:rsidRPr="00F63DC9">
              <w:rPr>
                <w:rFonts w:asciiTheme="minorHAnsi" w:eastAsiaTheme="minorHAnsi" w:hAnsiTheme="minorHAnsi" w:cstheme="minorHAnsi"/>
                <w:b/>
                <w:bCs/>
              </w:rPr>
              <w:t>Section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41D5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before="1" w:line="276" w:lineRule="exact"/>
              <w:ind w:left="108" w:right="88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b/>
                <w:bCs/>
              </w:rPr>
              <w:t>TPR Automatic Method #</w:t>
            </w:r>
          </w:p>
        </w:tc>
      </w:tr>
      <w:tr w:rsidR="00996A86" w:rsidRPr="00F63DC9" w14:paraId="38EEE450" w14:textId="77777777" w:rsidTr="00822790">
        <w:trPr>
          <w:trHeight w:hRule="exact" w:val="287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1131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 xml:space="preserve">Repairs and 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aintenance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89F3" w14:textId="048281CF" w:rsidR="00996A86" w:rsidRPr="00F63DC9" w:rsidRDefault="00C7075B" w:rsidP="00822790">
            <w:pPr>
              <w:autoSpaceDE w:val="0"/>
              <w:autoSpaceDN w:val="0"/>
              <w:adjustRightInd w:val="0"/>
              <w:spacing w:line="274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162-4(a)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0094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5E7CA271" w14:textId="77777777" w:rsidTr="00822790">
        <w:trPr>
          <w:trHeight w:hRule="exact" w:val="2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B3E5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Capital exp</w:t>
            </w:r>
            <w:r w:rsidRPr="00F63DC9">
              <w:rPr>
                <w:rFonts w:asciiTheme="minorHAnsi" w:eastAsiaTheme="minorHAnsi" w:hAnsiTheme="minorHAnsi" w:cstheme="minorHAnsi"/>
                <w:spacing w:val="-1"/>
              </w:rPr>
              <w:t>e</w:t>
            </w:r>
            <w:r w:rsidRPr="00F63DC9">
              <w:rPr>
                <w:rFonts w:asciiTheme="minorHAnsi" w:eastAsiaTheme="minorHAnsi" w:hAnsiTheme="minorHAnsi" w:cstheme="minorHAnsi"/>
              </w:rPr>
              <w:t>nditu</w:t>
            </w:r>
            <w:r w:rsidRPr="00F63DC9">
              <w:rPr>
                <w:rFonts w:asciiTheme="minorHAnsi" w:eastAsiaTheme="minorHAnsi" w:hAnsiTheme="minorHAnsi" w:cstheme="minorHAnsi"/>
                <w:spacing w:val="-1"/>
              </w:rPr>
              <w:t>r</w:t>
            </w:r>
            <w:r w:rsidRPr="00F63DC9">
              <w:rPr>
                <w:rFonts w:asciiTheme="minorHAnsi" w:eastAsiaTheme="minorHAnsi" w:hAnsiTheme="minorHAnsi" w:cstheme="minorHAnsi"/>
              </w:rPr>
              <w:t xml:space="preserve">es in </w:t>
            </w:r>
            <w:r w:rsidRPr="00F63DC9">
              <w:rPr>
                <w:rFonts w:asciiTheme="minorHAnsi" w:eastAsiaTheme="minorHAnsi" w:hAnsiTheme="minorHAnsi" w:cstheme="minorHAnsi"/>
                <w:spacing w:val="-1"/>
              </w:rPr>
              <w:t>g</w:t>
            </w:r>
            <w:r w:rsidRPr="00F63DC9">
              <w:rPr>
                <w:rFonts w:asciiTheme="minorHAnsi" w:eastAsiaTheme="minorHAnsi" w:hAnsiTheme="minorHAnsi" w:cstheme="minorHAnsi"/>
              </w:rPr>
              <w:t>ener</w:t>
            </w:r>
            <w:r w:rsidRPr="00F63DC9">
              <w:rPr>
                <w:rFonts w:asciiTheme="minorHAnsi" w:eastAsiaTheme="minorHAnsi" w:hAnsiTheme="minorHAnsi" w:cstheme="minorHAnsi"/>
                <w:spacing w:val="-1"/>
              </w:rPr>
              <w:t>a</w:t>
            </w:r>
            <w:r w:rsidRPr="00F63DC9">
              <w:rPr>
                <w:rFonts w:asciiTheme="minorHAnsi" w:eastAsiaTheme="minorHAnsi" w:hAnsiTheme="minorHAnsi" w:cstheme="minorHAnsi"/>
              </w:rPr>
              <w:t>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2212" w14:textId="191B6A63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-1(a)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EA20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01C18A35" w14:textId="77777777" w:rsidTr="00822790">
        <w:trPr>
          <w:trHeight w:hRule="exact" w:val="2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BA91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Require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ent to capitalize tangible property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2DA1" w14:textId="144DFEF3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-2(d)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7B57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52DEA97A" w14:textId="77777777" w:rsidTr="00822790">
        <w:trPr>
          <w:trHeight w:hRule="exact" w:val="287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BF4F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A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ounts paid to i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prove tangible property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3269" w14:textId="77777777" w:rsidR="00996A86" w:rsidRPr="00F63DC9" w:rsidRDefault="00996A86" w:rsidP="008227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C887" w14:textId="77777777" w:rsidR="00996A86" w:rsidRPr="00F63DC9" w:rsidRDefault="00996A86" w:rsidP="0082279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996A86" w:rsidRPr="00F63DC9" w14:paraId="6EB18CA2" w14:textId="77777777" w:rsidTr="00822790">
        <w:trPr>
          <w:trHeight w:hRule="exact" w:val="2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7D45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3" w:lineRule="exact"/>
              <w:ind w:left="4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Definition - Amounts paid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92A4" w14:textId="500B9E06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4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-3(b)(1)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577F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4C5A2ACF" w14:textId="77777777" w:rsidTr="00822790">
        <w:trPr>
          <w:trHeight w:hRule="exact" w:val="2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1977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3" w:lineRule="exact"/>
              <w:ind w:left="4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Definition - Personal property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B262" w14:textId="48CA1A0E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4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-3(b)(2)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56BC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64F3A98D" w14:textId="77777777" w:rsidTr="00822790">
        <w:trPr>
          <w:trHeight w:hRule="exact" w:val="287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3019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4" w:lineRule="exact"/>
              <w:ind w:left="4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Definition - Real property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144F" w14:textId="6C280A36" w:rsidR="00996A86" w:rsidRPr="00F63DC9" w:rsidRDefault="00C7075B" w:rsidP="00822790">
            <w:pPr>
              <w:autoSpaceDE w:val="0"/>
              <w:autoSpaceDN w:val="0"/>
              <w:adjustRightInd w:val="0"/>
              <w:spacing w:line="274" w:lineRule="exact"/>
              <w:ind w:left="103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-3(b)(3)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03C0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5ED39EA4" w14:textId="77777777" w:rsidTr="00822790">
        <w:trPr>
          <w:trHeight w:hRule="exact" w:val="2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6707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3" w:lineRule="exact"/>
              <w:ind w:left="4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Definition - Owner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6B75" w14:textId="02C9CDC8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4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-3(b)(4)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4159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0A21137A" w14:textId="77777777" w:rsidTr="00822790">
        <w:trPr>
          <w:trHeight w:hRule="exact" w:val="2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D2F7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Coordination with other provisions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4252" w14:textId="71499F7A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1"/>
              </w:rPr>
              <w:t>c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0F8A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554E7CA5" w14:textId="77777777" w:rsidTr="00822790">
        <w:trPr>
          <w:trHeight w:hRule="exact" w:val="563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E9D7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6" w:lineRule="exact"/>
              <w:ind w:left="435" w:right="685" w:hanging="333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Require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ent to capitalize a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ounts paid to i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prove tangible property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B1A1" w14:textId="06AFB8D4" w:rsidR="00996A86" w:rsidRPr="00F63DC9" w:rsidRDefault="00C7075B" w:rsidP="00822790">
            <w:pPr>
              <w:autoSpaceDE w:val="0"/>
              <w:autoSpaceDN w:val="0"/>
              <w:adjustRightInd w:val="0"/>
              <w:spacing w:line="274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-3(d)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1CC6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26C53AFD" w14:textId="77777777" w:rsidTr="00822790">
        <w:trPr>
          <w:trHeight w:hRule="exact" w:val="2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9FEE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Unit of property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4D11" w14:textId="588790B1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1"/>
              </w:rPr>
              <w:t>e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7CB0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305F11E6" w14:textId="77777777" w:rsidTr="00822790">
        <w:trPr>
          <w:trHeight w:hRule="exact" w:val="2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C796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3" w:lineRule="exact"/>
              <w:ind w:left="4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Unit of property, building, general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B0DD" w14:textId="5ABEAB76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3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1"/>
              </w:rPr>
              <w:t>e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)(2)(</w:t>
            </w:r>
            <w:proofErr w:type="spellStart"/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2"/>
              </w:rPr>
              <w:t>i</w:t>
            </w:r>
            <w:proofErr w:type="spellEnd"/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F35D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324F8E99" w14:textId="77777777" w:rsidTr="00822790">
        <w:trPr>
          <w:trHeight w:hRule="exact" w:val="28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7999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I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prov</w:t>
            </w:r>
            <w:r w:rsidRPr="00F63DC9">
              <w:rPr>
                <w:rFonts w:asciiTheme="minorHAnsi" w:eastAsiaTheme="minorHAnsi" w:hAnsiTheme="minorHAnsi" w:cstheme="minorHAnsi"/>
                <w:spacing w:val="1"/>
              </w:rPr>
              <w:t>e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ent to leased property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C2A4" w14:textId="183CE717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2"/>
              </w:rPr>
              <w:t>f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E22B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55A67BB0" w14:textId="77777777" w:rsidTr="00822790">
        <w:trPr>
          <w:trHeight w:hRule="exact" w:val="563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4A8A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6" w:lineRule="exact"/>
              <w:ind w:left="435" w:right="156" w:hanging="333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Special rules for deter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ining i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prove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ent costs, certain costs incurred during an improve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ent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6A7E" w14:textId="2E689B98" w:rsidR="00996A86" w:rsidRPr="00F63DC9" w:rsidRDefault="00C7075B" w:rsidP="00822790">
            <w:pPr>
              <w:autoSpaceDE w:val="0"/>
              <w:autoSpaceDN w:val="0"/>
              <w:adjustRightInd w:val="0"/>
              <w:spacing w:line="274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-3(g)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663A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3ABD1D17" w14:textId="77777777" w:rsidTr="00822790">
        <w:trPr>
          <w:trHeight w:hRule="exact" w:val="562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4F75" w14:textId="214C5053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435" w:right="-20" w:hanging="333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 xml:space="preserve">Safe harbor for routine 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aintenance on property, Routine</w:t>
            </w:r>
            <w:r w:rsidR="00822790" w:rsidRPr="00F63DC9">
              <w:rPr>
                <w:rFonts w:asciiTheme="minorHAnsi" w:eastAsiaTheme="minorHAnsi" w:hAnsiTheme="minorHAnsi" w:cstheme="minorHAnsi"/>
              </w:rPr>
              <w:t xml:space="preserve"> 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 xml:space="preserve">aintenance </w:t>
            </w:r>
            <w:r w:rsidRPr="00F63DC9">
              <w:rPr>
                <w:rFonts w:asciiTheme="minorHAnsi" w:eastAsiaTheme="minorHAnsi" w:hAnsiTheme="minorHAnsi" w:cstheme="minorHAnsi"/>
                <w:spacing w:val="-1"/>
              </w:rPr>
              <w:t>f</w:t>
            </w:r>
            <w:r w:rsidRPr="00F63DC9">
              <w:rPr>
                <w:rFonts w:asciiTheme="minorHAnsi" w:eastAsiaTheme="minorHAnsi" w:hAnsiTheme="minorHAnsi" w:cstheme="minorHAnsi"/>
              </w:rPr>
              <w:t>or buildin</w:t>
            </w:r>
            <w:r w:rsidRPr="00F63DC9">
              <w:rPr>
                <w:rFonts w:asciiTheme="minorHAnsi" w:eastAsiaTheme="minorHAnsi" w:hAnsiTheme="minorHAnsi" w:cstheme="minorHAnsi"/>
                <w:spacing w:val="-1"/>
              </w:rPr>
              <w:t>g</w:t>
            </w:r>
            <w:r w:rsidRPr="00F63DC9">
              <w:rPr>
                <w:rFonts w:asciiTheme="minorHAnsi" w:eastAsiaTheme="minorHAnsi" w:hAnsiTheme="minorHAnsi" w:cstheme="minorHAnsi"/>
              </w:rPr>
              <w:t>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1126" w14:textId="0D862302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</w:t>
            </w:r>
            <w:proofErr w:type="spellStart"/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2"/>
              </w:rPr>
              <w:t>i</w:t>
            </w:r>
            <w:proofErr w:type="spellEnd"/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A9E2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673F9530" w14:textId="77777777" w:rsidTr="00822790">
        <w:trPr>
          <w:trHeight w:hRule="exact" w:val="287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DAF8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Capitaliz</w:t>
            </w:r>
            <w:r w:rsidRPr="00F63DC9">
              <w:rPr>
                <w:rFonts w:asciiTheme="minorHAnsi" w:eastAsiaTheme="minorHAnsi" w:hAnsiTheme="minorHAnsi" w:cstheme="minorHAnsi"/>
                <w:spacing w:val="-1"/>
              </w:rPr>
              <w:t>a</w:t>
            </w:r>
            <w:r w:rsidRPr="00F63DC9">
              <w:rPr>
                <w:rFonts w:asciiTheme="minorHAnsi" w:eastAsiaTheme="minorHAnsi" w:hAnsiTheme="minorHAnsi" w:cstheme="minorHAnsi"/>
              </w:rPr>
              <w:t>ti</w:t>
            </w:r>
            <w:r w:rsidRPr="00F63DC9">
              <w:rPr>
                <w:rFonts w:asciiTheme="minorHAnsi" w:eastAsiaTheme="minorHAnsi" w:hAnsiTheme="minorHAnsi" w:cstheme="minorHAnsi"/>
                <w:spacing w:val="-1"/>
              </w:rPr>
              <w:t>o</w:t>
            </w:r>
            <w:r w:rsidRPr="00F63DC9">
              <w:rPr>
                <w:rFonts w:asciiTheme="minorHAnsi" w:eastAsiaTheme="minorHAnsi" w:hAnsiTheme="minorHAnsi" w:cstheme="minorHAnsi"/>
              </w:rPr>
              <w:t>n of</w:t>
            </w:r>
            <w:r w:rsidRPr="00F63DC9">
              <w:rPr>
                <w:rFonts w:asciiTheme="minorHAnsi" w:eastAsiaTheme="minorHAnsi" w:hAnsiTheme="minorHAnsi" w:cstheme="minorHAnsi"/>
                <w:spacing w:val="-1"/>
              </w:rPr>
              <w:t xml:space="preserve"> </w:t>
            </w:r>
            <w:r w:rsidRPr="00F63DC9">
              <w:rPr>
                <w:rFonts w:asciiTheme="minorHAnsi" w:eastAsiaTheme="minorHAnsi" w:hAnsiTheme="minorHAnsi" w:cstheme="minorHAnsi"/>
              </w:rPr>
              <w:t>better</w:t>
            </w:r>
            <w:r w:rsidRPr="00F63DC9">
              <w:rPr>
                <w:rFonts w:asciiTheme="minorHAnsi" w:eastAsiaTheme="minorHAnsi" w:hAnsiTheme="minorHAnsi" w:cstheme="minorHAnsi"/>
                <w:spacing w:val="-2"/>
              </w:rPr>
              <w:t>m</w:t>
            </w:r>
            <w:r w:rsidRPr="00F63DC9">
              <w:rPr>
                <w:rFonts w:asciiTheme="minorHAnsi" w:eastAsiaTheme="minorHAnsi" w:hAnsiTheme="minorHAnsi" w:cstheme="minorHAnsi"/>
              </w:rPr>
              <w:t>ents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06E1" w14:textId="20B98EC5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-2"/>
              </w:rPr>
              <w:t>)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-3(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  <w:spacing w:val="2"/>
              </w:rPr>
              <w:t>j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B4B6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15876AE2" w14:textId="77777777" w:rsidTr="00822790">
        <w:trPr>
          <w:trHeight w:hRule="exact" w:val="287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A8AB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Capitalization of restorations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A6F9" w14:textId="634FBD67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263(a)-3(k)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8C3A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53D330C1" w14:textId="77777777" w:rsidTr="00822790">
        <w:trPr>
          <w:trHeight w:hRule="exact" w:val="287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2377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Capitalization of amounts to adapt property to a new or</w:t>
            </w:r>
          </w:p>
          <w:p w14:paraId="5D894B05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different use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E0E5" w14:textId="049685CA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263(a)-3(l)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A87A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7E9A41A3" w14:textId="77777777" w:rsidTr="00822790">
        <w:trPr>
          <w:trHeight w:hRule="exact" w:val="287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2D2F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Treatment of capital expenditures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5272" w14:textId="4D1F2F71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263(a)-3(o)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A83F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  <w:tr w:rsidR="00996A86" w:rsidRPr="00F63DC9" w14:paraId="509DBE4A" w14:textId="77777777" w:rsidTr="00822790">
        <w:trPr>
          <w:trHeight w:hRule="exact" w:val="287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18BA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lastRenderedPageBreak/>
              <w:t>Recovery of capitalized amounts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83D7" w14:textId="0671F966" w:rsidR="00996A86" w:rsidRPr="00F63DC9" w:rsidRDefault="00C7075B" w:rsidP="00822790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F63DC9">
              <w:rPr>
                <w:rFonts w:asciiTheme="minorHAnsi" w:eastAsiaTheme="minorHAnsi" w:hAnsiTheme="minorHAnsi" w:cstheme="minorHAnsi"/>
                <w:i/>
                <w:iCs/>
              </w:rPr>
              <w:t>§1.</w:t>
            </w:r>
            <w:r w:rsidR="00996A86" w:rsidRPr="00F63DC9">
              <w:rPr>
                <w:rFonts w:asciiTheme="minorHAnsi" w:eastAsiaTheme="minorHAnsi" w:hAnsiTheme="minorHAnsi" w:cstheme="minorHAnsi"/>
                <w:i/>
                <w:iCs/>
              </w:rPr>
              <w:t>263(a)-3(p)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BB13" w14:textId="77777777" w:rsidR="00996A86" w:rsidRPr="00F63DC9" w:rsidRDefault="00996A86" w:rsidP="00822790">
            <w:pPr>
              <w:autoSpaceDE w:val="0"/>
              <w:autoSpaceDN w:val="0"/>
              <w:adjustRightInd w:val="0"/>
              <w:spacing w:line="272" w:lineRule="exact"/>
              <w:ind w:left="102" w:right="-20"/>
              <w:jc w:val="center"/>
              <w:rPr>
                <w:rFonts w:asciiTheme="minorHAnsi" w:eastAsiaTheme="minorHAnsi" w:hAnsiTheme="minorHAnsi" w:cstheme="minorHAnsi"/>
              </w:rPr>
            </w:pPr>
            <w:r w:rsidRPr="00F63DC9">
              <w:rPr>
                <w:rFonts w:asciiTheme="minorHAnsi" w:eastAsiaTheme="minorHAnsi" w:hAnsiTheme="minorHAnsi" w:cstheme="minorHAnsi"/>
              </w:rPr>
              <w:t>184</w:t>
            </w:r>
          </w:p>
        </w:tc>
      </w:tr>
    </w:tbl>
    <w:p w14:paraId="2F4D1725" w14:textId="77777777" w:rsidR="00996A86" w:rsidRPr="00F63DC9" w:rsidRDefault="00996A86" w:rsidP="004C1E5B">
      <w:pPr>
        <w:jc w:val="both"/>
        <w:rPr>
          <w:rFonts w:asciiTheme="minorHAnsi" w:hAnsiTheme="minorHAnsi" w:cstheme="minorHAnsi"/>
          <w:b/>
          <w:u w:val="single"/>
        </w:rPr>
      </w:pPr>
    </w:p>
    <w:p w14:paraId="711C6C98" w14:textId="11F44252" w:rsidR="00240CC2" w:rsidRPr="00F63DC9" w:rsidRDefault="00240CC2" w:rsidP="00240CC2">
      <w:pPr>
        <w:jc w:val="both"/>
        <w:rPr>
          <w:rFonts w:asciiTheme="minorHAnsi" w:hAnsiTheme="minorHAnsi" w:cstheme="minorHAnsi"/>
          <w:b/>
          <w:u w:val="single"/>
        </w:rPr>
      </w:pPr>
      <w:r w:rsidRPr="00F63DC9">
        <w:rPr>
          <w:rFonts w:asciiTheme="minorHAnsi" w:hAnsiTheme="minorHAnsi" w:cstheme="minorHAnsi"/>
          <w:b/>
          <w:u w:val="single"/>
        </w:rPr>
        <w:t xml:space="preserve">Part II, Question </w:t>
      </w:r>
      <w:r w:rsidR="001844B2">
        <w:rPr>
          <w:rFonts w:asciiTheme="minorHAnsi" w:hAnsiTheme="minorHAnsi" w:cstheme="minorHAnsi"/>
          <w:b/>
          <w:u w:val="single"/>
        </w:rPr>
        <w:t>6a</w:t>
      </w:r>
    </w:p>
    <w:p w14:paraId="6A7EE992" w14:textId="77777777" w:rsidR="00240CC2" w:rsidRPr="00F63DC9" w:rsidRDefault="00240CC2" w:rsidP="00240CC2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1022BB5F" w14:textId="77777777" w:rsidR="001844B2" w:rsidRDefault="001844B2" w:rsidP="001844B2">
      <w:pPr>
        <w:rPr>
          <w:rFonts w:asciiTheme="minorHAnsi" w:hAnsiTheme="minorHAnsi" w:cstheme="minorHAnsi"/>
          <w:color w:val="FF0000"/>
        </w:rPr>
      </w:pPr>
      <w:r w:rsidRPr="00172192">
        <w:rPr>
          <w:rFonts w:asciiTheme="minorHAnsi" w:eastAsiaTheme="minorHAnsi" w:hAnsiTheme="minorHAnsi" w:cstheme="minorHAnsi"/>
        </w:rPr>
        <w:t>The Applicant is not under examination. No further statement is required.</w:t>
      </w:r>
      <w:r>
        <w:rPr>
          <w:rFonts w:asciiTheme="minorHAnsi" w:eastAsiaTheme="minorHAnsi" w:hAnsiTheme="minorHAnsi" w:cstheme="minorHAnsi"/>
        </w:rPr>
        <w:t xml:space="preserve"> </w:t>
      </w:r>
      <w:bookmarkStart w:id="0" w:name="_Hlk67052699"/>
      <w:r w:rsidRPr="005E1168">
        <w:rPr>
          <w:rFonts w:asciiTheme="minorHAnsi" w:hAnsiTheme="minorHAnsi" w:cstheme="minorHAnsi"/>
          <w:color w:val="FF0000"/>
        </w:rPr>
        <w:t>(If the applicant is under examination, then special filing requirements must be addressed.  Please refer to the IRS Form 3115 instructions.</w:t>
      </w:r>
      <w:r>
        <w:rPr>
          <w:rFonts w:asciiTheme="minorHAnsi" w:hAnsiTheme="minorHAnsi" w:cstheme="minorHAnsi"/>
          <w:color w:val="FF0000"/>
        </w:rPr>
        <w:t>)</w:t>
      </w:r>
      <w:bookmarkEnd w:id="0"/>
    </w:p>
    <w:p w14:paraId="387CBE7D" w14:textId="24A48EBD" w:rsidR="001844B2" w:rsidRDefault="001844B2" w:rsidP="00240CC2">
      <w:pPr>
        <w:rPr>
          <w:rFonts w:asciiTheme="minorHAnsi" w:hAnsiTheme="minorHAnsi" w:cstheme="minorHAnsi"/>
        </w:rPr>
      </w:pPr>
    </w:p>
    <w:p w14:paraId="46819E62" w14:textId="77777777" w:rsidR="001844B2" w:rsidRPr="00C22BDD" w:rsidRDefault="001844B2" w:rsidP="001844B2">
      <w:pPr>
        <w:jc w:val="both"/>
        <w:rPr>
          <w:rFonts w:asciiTheme="minorHAnsi" w:hAnsiTheme="minorHAnsi" w:cstheme="minorHAnsi"/>
          <w:b/>
          <w:u w:val="single"/>
        </w:rPr>
      </w:pPr>
      <w:bookmarkStart w:id="1" w:name="_Hlk67052712"/>
      <w:r w:rsidRPr="00C22BDD">
        <w:rPr>
          <w:rFonts w:asciiTheme="minorHAnsi" w:hAnsiTheme="minorHAnsi" w:cstheme="minorHAnsi"/>
          <w:b/>
          <w:u w:val="single"/>
        </w:rPr>
        <w:t>Part II, Question 7a</w:t>
      </w:r>
      <w:r>
        <w:rPr>
          <w:rFonts w:asciiTheme="minorHAnsi" w:hAnsiTheme="minorHAnsi" w:cstheme="minorHAnsi"/>
          <w:b/>
          <w:u w:val="single"/>
        </w:rPr>
        <w:t xml:space="preserve"> &amp; 7b</w:t>
      </w:r>
    </w:p>
    <w:p w14:paraId="75A5F1FC" w14:textId="77777777" w:rsidR="001844B2" w:rsidRPr="000D591D" w:rsidRDefault="001844B2" w:rsidP="001844B2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Yes, audit protection applies.  </w:t>
      </w:r>
      <w:r w:rsidRPr="0079044D">
        <w:rPr>
          <w:rFonts w:asciiTheme="minorHAnsi" w:eastAsiaTheme="minorHAnsi" w:hAnsiTheme="minorHAnsi" w:cstheme="minorHAnsi"/>
        </w:rPr>
        <w:t xml:space="preserve">The Applicant is requesting an automatic change, DCN </w:t>
      </w:r>
      <w:r>
        <w:rPr>
          <w:rFonts w:asciiTheme="minorHAnsi" w:eastAsiaTheme="minorHAnsi" w:hAnsiTheme="minorHAnsi" w:cstheme="minorHAnsi"/>
        </w:rPr>
        <w:t>7 to change an impermissible method of accounting to a permissible method of accounting for depreciation on any item of personal property and real property, as defined in §168(e)(6).</w:t>
      </w:r>
    </w:p>
    <w:bookmarkEnd w:id="1"/>
    <w:p w14:paraId="45C44464" w14:textId="77777777" w:rsidR="00240CC2" w:rsidRPr="00F63DC9" w:rsidRDefault="00240CC2" w:rsidP="00240CC2">
      <w:pPr>
        <w:rPr>
          <w:rFonts w:asciiTheme="minorHAnsi" w:hAnsiTheme="minorHAnsi" w:cstheme="minorHAnsi"/>
        </w:rPr>
      </w:pPr>
    </w:p>
    <w:p w14:paraId="45B6AE6C" w14:textId="317F59A4" w:rsidR="004C1E5B" w:rsidRPr="00F63DC9" w:rsidRDefault="00BF2CED" w:rsidP="004C1E5B">
      <w:pPr>
        <w:jc w:val="both"/>
        <w:rPr>
          <w:rFonts w:asciiTheme="minorHAnsi" w:hAnsiTheme="minorHAnsi" w:cstheme="minorHAnsi"/>
          <w:b/>
          <w:u w:val="single"/>
        </w:rPr>
      </w:pPr>
      <w:r w:rsidRPr="00F63DC9">
        <w:rPr>
          <w:rFonts w:asciiTheme="minorHAnsi" w:hAnsiTheme="minorHAnsi" w:cstheme="minorHAnsi"/>
          <w:b/>
          <w:u w:val="single"/>
        </w:rPr>
        <w:t>Part II, Question 1</w:t>
      </w:r>
      <w:r w:rsidR="001844B2">
        <w:rPr>
          <w:rFonts w:asciiTheme="minorHAnsi" w:hAnsiTheme="minorHAnsi" w:cstheme="minorHAnsi"/>
          <w:b/>
          <w:u w:val="single"/>
        </w:rPr>
        <w:t>2</w:t>
      </w:r>
    </w:p>
    <w:p w14:paraId="0C4E3470" w14:textId="77777777" w:rsidR="004C1E5B" w:rsidRPr="00F63DC9" w:rsidRDefault="004C1E5B" w:rsidP="004C1E5B">
      <w:pPr>
        <w:jc w:val="both"/>
        <w:rPr>
          <w:rFonts w:asciiTheme="minorHAnsi" w:hAnsiTheme="minorHAnsi" w:cstheme="minorHAnsi"/>
        </w:rPr>
      </w:pPr>
    </w:p>
    <w:p w14:paraId="78A7465A" w14:textId="533B9C9D" w:rsidR="00434FD5" w:rsidRPr="00F63DC9" w:rsidRDefault="004C1E5B" w:rsidP="00434FD5">
      <w:pPr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The Applicant </w:t>
      </w:r>
      <w:r w:rsidR="00C60BB5" w:rsidRPr="00F63DC9">
        <w:rPr>
          <w:rFonts w:asciiTheme="minorHAnsi" w:hAnsiTheme="minorHAnsi" w:cstheme="minorHAnsi"/>
        </w:rPr>
        <w:t>is requesting</w:t>
      </w:r>
      <w:r w:rsidR="008C0220" w:rsidRPr="00F63DC9">
        <w:rPr>
          <w:rFonts w:asciiTheme="minorHAnsi" w:hAnsiTheme="minorHAnsi" w:cstheme="minorHAnsi"/>
        </w:rPr>
        <w:t xml:space="preserve"> </w:t>
      </w:r>
      <w:r w:rsidR="00C60BB5" w:rsidRPr="00F63DC9">
        <w:rPr>
          <w:rFonts w:asciiTheme="minorHAnsi" w:hAnsiTheme="minorHAnsi" w:cstheme="minorHAnsi"/>
        </w:rPr>
        <w:t>automatic</w:t>
      </w:r>
      <w:r w:rsidR="00E11D7F" w:rsidRPr="00F63DC9">
        <w:rPr>
          <w:rFonts w:asciiTheme="minorHAnsi" w:hAnsiTheme="minorHAnsi" w:cstheme="minorHAnsi"/>
        </w:rPr>
        <w:t xml:space="preserve"> </w:t>
      </w:r>
      <w:r w:rsidRPr="00F63DC9">
        <w:rPr>
          <w:rFonts w:asciiTheme="minorHAnsi" w:hAnsiTheme="minorHAnsi" w:cstheme="minorHAnsi"/>
        </w:rPr>
        <w:t xml:space="preserve">change in </w:t>
      </w:r>
      <w:r w:rsidRPr="00F63DC9">
        <w:rPr>
          <w:rFonts w:asciiTheme="minorHAnsi" w:hAnsiTheme="minorHAnsi" w:cstheme="minorHAnsi"/>
          <w:highlight w:val="yellow"/>
        </w:rPr>
        <w:t>accounting method</w:t>
      </w:r>
      <w:r w:rsidR="00E11D7F" w:rsidRPr="00F63DC9">
        <w:rPr>
          <w:rFonts w:asciiTheme="minorHAnsi" w:hAnsiTheme="minorHAnsi" w:cstheme="minorHAnsi"/>
          <w:highlight w:val="yellow"/>
        </w:rPr>
        <w:t xml:space="preserve"> </w:t>
      </w:r>
      <w:r w:rsidR="00AA6DD3" w:rsidRPr="00F63DC9">
        <w:rPr>
          <w:rFonts w:asciiTheme="minorHAnsi" w:hAnsiTheme="minorHAnsi" w:cstheme="minorHAnsi"/>
          <w:highlight w:val="yellow"/>
        </w:rPr>
        <w:t xml:space="preserve">No. </w:t>
      </w:r>
      <w:r w:rsidR="00B25242" w:rsidRPr="00F63DC9">
        <w:rPr>
          <w:rFonts w:asciiTheme="minorHAnsi" w:hAnsiTheme="minorHAnsi" w:cstheme="minorHAnsi"/>
          <w:highlight w:val="yellow"/>
        </w:rPr>
        <w:t>7</w:t>
      </w:r>
      <w:r w:rsidR="00C60BB5" w:rsidRPr="00F63DC9">
        <w:rPr>
          <w:rFonts w:asciiTheme="minorHAnsi" w:hAnsiTheme="minorHAnsi" w:cstheme="minorHAnsi"/>
        </w:rPr>
        <w:t xml:space="preserve"> </w:t>
      </w:r>
      <w:r w:rsidR="00AA6DD3" w:rsidRPr="00F63DC9">
        <w:rPr>
          <w:rFonts w:asciiTheme="minorHAnsi" w:hAnsiTheme="minorHAnsi" w:cstheme="minorHAnsi"/>
        </w:rPr>
        <w:t xml:space="preserve">for </w:t>
      </w:r>
      <w:r w:rsidRPr="00F63DC9">
        <w:rPr>
          <w:rFonts w:asciiTheme="minorHAnsi" w:hAnsiTheme="minorHAnsi" w:cstheme="minorHAnsi"/>
        </w:rPr>
        <w:t xml:space="preserve">the </w:t>
      </w:r>
      <w:r w:rsidR="00C60BB5" w:rsidRPr="00F63DC9">
        <w:rPr>
          <w:rFonts w:asciiTheme="minorHAnsi" w:hAnsiTheme="minorHAnsi" w:cstheme="minorHAnsi"/>
        </w:rPr>
        <w:t xml:space="preserve">current </w:t>
      </w:r>
      <w:r w:rsidRPr="00F63DC9">
        <w:rPr>
          <w:rFonts w:asciiTheme="minorHAnsi" w:hAnsiTheme="minorHAnsi" w:cstheme="minorHAnsi"/>
        </w:rPr>
        <w:t>taxabl</w:t>
      </w:r>
      <w:r w:rsidR="00102ADD" w:rsidRPr="00F63DC9">
        <w:rPr>
          <w:rFonts w:asciiTheme="minorHAnsi" w:hAnsiTheme="minorHAnsi" w:cstheme="minorHAnsi"/>
        </w:rPr>
        <w:t xml:space="preserve">e period ending </w:t>
      </w:r>
      <w:r w:rsidR="00102ADD" w:rsidRPr="00F63DC9">
        <w:rPr>
          <w:rFonts w:asciiTheme="minorHAnsi" w:hAnsiTheme="minorHAnsi" w:cstheme="minorHAnsi"/>
          <w:highlight w:val="magenta"/>
        </w:rPr>
        <w:t>December 31, 20</w:t>
      </w:r>
      <w:r w:rsidR="001844B2">
        <w:rPr>
          <w:rFonts w:asciiTheme="minorHAnsi" w:hAnsiTheme="minorHAnsi" w:cstheme="minorHAnsi"/>
          <w:highlight w:val="magenta"/>
        </w:rPr>
        <w:t>20</w:t>
      </w:r>
      <w:r w:rsidRPr="00F63DC9">
        <w:rPr>
          <w:rFonts w:asciiTheme="minorHAnsi" w:hAnsiTheme="minorHAnsi" w:cstheme="minorHAnsi"/>
        </w:rPr>
        <w:t>.</w:t>
      </w:r>
      <w:r w:rsidR="00102ADD" w:rsidRPr="00F63DC9">
        <w:rPr>
          <w:rFonts w:asciiTheme="minorHAnsi" w:hAnsiTheme="minorHAnsi" w:cstheme="minorHAnsi"/>
        </w:rPr>
        <w:t xml:space="preserve"> </w:t>
      </w:r>
      <w:r w:rsidR="00C60BB5" w:rsidRPr="00F63DC9">
        <w:rPr>
          <w:rFonts w:asciiTheme="minorHAnsi" w:hAnsiTheme="minorHAnsi" w:cstheme="minorHAnsi"/>
        </w:rPr>
        <w:t xml:space="preserve">Method No. 7 is a change </w:t>
      </w:r>
      <w:r w:rsidR="003A1878" w:rsidRPr="00F63DC9">
        <w:rPr>
          <w:rFonts w:asciiTheme="minorHAnsi" w:hAnsiTheme="minorHAnsi" w:cstheme="minorHAnsi"/>
        </w:rPr>
        <w:t xml:space="preserve">in depreciation, </w:t>
      </w:r>
      <w:r w:rsidR="00C60BB5" w:rsidRPr="00F63DC9">
        <w:rPr>
          <w:rFonts w:asciiTheme="minorHAnsi" w:hAnsiTheme="minorHAnsi" w:cstheme="minorHAnsi"/>
        </w:rPr>
        <w:t xml:space="preserve">from an impermissible method to a permissible method. </w:t>
      </w:r>
      <w:r w:rsidR="00B25242" w:rsidRPr="00F63DC9">
        <w:rPr>
          <w:rFonts w:asciiTheme="minorHAnsi" w:hAnsiTheme="minorHAnsi" w:cstheme="minorHAnsi"/>
          <w:highlight w:val="red"/>
        </w:rPr>
        <w:t xml:space="preserve">Specifically, the Applicant reclassified assets originally treated as nonresidential real property with a </w:t>
      </w:r>
      <w:proofErr w:type="gramStart"/>
      <w:r w:rsidR="00B25242" w:rsidRPr="00F63DC9">
        <w:rPr>
          <w:rFonts w:asciiTheme="minorHAnsi" w:hAnsiTheme="minorHAnsi" w:cstheme="minorHAnsi"/>
          <w:highlight w:val="red"/>
        </w:rPr>
        <w:t>3</w:t>
      </w:r>
      <w:r w:rsidR="00102ADD" w:rsidRPr="00F63DC9">
        <w:rPr>
          <w:rFonts w:asciiTheme="minorHAnsi" w:hAnsiTheme="minorHAnsi" w:cstheme="minorHAnsi"/>
          <w:highlight w:val="red"/>
        </w:rPr>
        <w:t>9 year</w:t>
      </w:r>
      <w:proofErr w:type="gramEnd"/>
      <w:r w:rsidR="00102ADD" w:rsidRPr="00F63DC9">
        <w:rPr>
          <w:rFonts w:asciiTheme="minorHAnsi" w:hAnsiTheme="minorHAnsi" w:cstheme="minorHAnsi"/>
          <w:highlight w:val="red"/>
        </w:rPr>
        <w:t xml:space="preserve"> recovery period to §1245 </w:t>
      </w:r>
      <w:r w:rsidR="00B25242" w:rsidRPr="00F63DC9">
        <w:rPr>
          <w:rFonts w:asciiTheme="minorHAnsi" w:hAnsiTheme="minorHAnsi" w:cstheme="minorHAnsi"/>
          <w:highlight w:val="red"/>
        </w:rPr>
        <w:t>property having a 5 year recovery period clas</w:t>
      </w:r>
      <w:r w:rsidR="008E2678" w:rsidRPr="00F63DC9">
        <w:rPr>
          <w:rFonts w:asciiTheme="minorHAnsi" w:hAnsiTheme="minorHAnsi" w:cstheme="minorHAnsi"/>
          <w:highlight w:val="red"/>
        </w:rPr>
        <w:t>sified under Rev. Proc. 87-56, A</w:t>
      </w:r>
      <w:r w:rsidR="00B25242" w:rsidRPr="00F63DC9">
        <w:rPr>
          <w:rFonts w:asciiTheme="minorHAnsi" w:hAnsiTheme="minorHAnsi" w:cstheme="minorHAnsi"/>
          <w:highlight w:val="red"/>
        </w:rPr>
        <w:t xml:space="preserve">sset class 57.0, Distributive Trades and Services. Additionally, the Applicant reclassified assets originally treated as nonresidential real property with a </w:t>
      </w:r>
      <w:proofErr w:type="gramStart"/>
      <w:r w:rsidR="00B25242" w:rsidRPr="00F63DC9">
        <w:rPr>
          <w:rFonts w:asciiTheme="minorHAnsi" w:hAnsiTheme="minorHAnsi" w:cstheme="minorHAnsi"/>
          <w:highlight w:val="red"/>
        </w:rPr>
        <w:t>39 year</w:t>
      </w:r>
      <w:proofErr w:type="gramEnd"/>
      <w:r w:rsidR="00B25242" w:rsidRPr="00F63DC9">
        <w:rPr>
          <w:rFonts w:asciiTheme="minorHAnsi" w:hAnsiTheme="minorHAnsi" w:cstheme="minorHAnsi"/>
          <w:highlight w:val="red"/>
        </w:rPr>
        <w:t xml:space="preserve"> recovery period to §1250 property having 15 year recovery period clas</w:t>
      </w:r>
      <w:r w:rsidR="008E2678" w:rsidRPr="00F63DC9">
        <w:rPr>
          <w:rFonts w:asciiTheme="minorHAnsi" w:hAnsiTheme="minorHAnsi" w:cstheme="minorHAnsi"/>
          <w:highlight w:val="red"/>
        </w:rPr>
        <w:t>sified under Rev. Proc. 87-56, A</w:t>
      </w:r>
      <w:r w:rsidR="00B25242" w:rsidRPr="00F63DC9">
        <w:rPr>
          <w:rFonts w:asciiTheme="minorHAnsi" w:hAnsiTheme="minorHAnsi" w:cstheme="minorHAnsi"/>
          <w:highlight w:val="red"/>
        </w:rPr>
        <w:t xml:space="preserve">sset </w:t>
      </w:r>
      <w:r w:rsidR="00434FD5" w:rsidRPr="00F63DC9">
        <w:rPr>
          <w:rFonts w:asciiTheme="minorHAnsi" w:hAnsiTheme="minorHAnsi" w:cstheme="minorHAnsi"/>
          <w:highlight w:val="red"/>
        </w:rPr>
        <w:t>class</w:t>
      </w:r>
      <w:r w:rsidR="00A711A2" w:rsidRPr="00F63DC9">
        <w:rPr>
          <w:rFonts w:asciiTheme="minorHAnsi" w:hAnsiTheme="minorHAnsi" w:cstheme="minorHAnsi"/>
          <w:highlight w:val="red"/>
        </w:rPr>
        <w:t xml:space="preserve"> </w:t>
      </w:r>
      <w:r w:rsidR="00B25242" w:rsidRPr="00F63DC9">
        <w:rPr>
          <w:rFonts w:asciiTheme="minorHAnsi" w:hAnsiTheme="minorHAnsi" w:cstheme="minorHAnsi"/>
          <w:highlight w:val="red"/>
        </w:rPr>
        <w:t>00.3, Land Improvements</w:t>
      </w:r>
      <w:r w:rsidR="00102ADD" w:rsidRPr="00F63DC9">
        <w:rPr>
          <w:rFonts w:asciiTheme="minorHAnsi" w:hAnsiTheme="minorHAnsi" w:cstheme="minorHAnsi"/>
          <w:highlight w:val="red"/>
        </w:rPr>
        <w:t>.</w:t>
      </w:r>
      <w:r w:rsidR="00102ADD" w:rsidRPr="00F63DC9">
        <w:rPr>
          <w:rFonts w:asciiTheme="minorHAnsi" w:hAnsiTheme="minorHAnsi" w:cstheme="minorHAnsi"/>
        </w:rPr>
        <w:t xml:space="preserve"> </w:t>
      </w:r>
      <w:r w:rsidR="00434FD5" w:rsidRPr="00F63DC9">
        <w:rPr>
          <w:rFonts w:asciiTheme="minorHAnsi" w:hAnsiTheme="minorHAnsi" w:cstheme="minorHAnsi"/>
        </w:rPr>
        <w:t>This change is automatic.</w:t>
      </w:r>
    </w:p>
    <w:p w14:paraId="5357F1A5" w14:textId="6EC4380D" w:rsidR="00DB598E" w:rsidRPr="00F63DC9" w:rsidRDefault="00DB598E" w:rsidP="00E11D7F">
      <w:pPr>
        <w:jc w:val="both"/>
        <w:rPr>
          <w:rFonts w:asciiTheme="minorHAnsi" w:hAnsiTheme="minorHAnsi" w:cstheme="minorHAnsi"/>
        </w:rPr>
      </w:pPr>
    </w:p>
    <w:p w14:paraId="1B4689F0" w14:textId="25836D85" w:rsidR="00DB598E" w:rsidRPr="00F63DC9" w:rsidRDefault="00DB598E" w:rsidP="00BF2CED">
      <w:pPr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The Applicant </w:t>
      </w:r>
      <w:r w:rsidR="00463809" w:rsidRPr="00F63DC9">
        <w:rPr>
          <w:rFonts w:asciiTheme="minorHAnsi" w:hAnsiTheme="minorHAnsi" w:cstheme="minorHAnsi"/>
        </w:rPr>
        <w:t>is requesting</w:t>
      </w:r>
      <w:r w:rsidRPr="00F63DC9">
        <w:rPr>
          <w:rFonts w:asciiTheme="minorHAnsi" w:hAnsiTheme="minorHAnsi" w:cstheme="minorHAnsi"/>
        </w:rPr>
        <w:t xml:space="preserve"> automatic change in </w:t>
      </w:r>
      <w:r w:rsidRPr="00F63DC9">
        <w:rPr>
          <w:rFonts w:asciiTheme="minorHAnsi" w:hAnsiTheme="minorHAnsi" w:cstheme="minorHAnsi"/>
          <w:highlight w:val="yellow"/>
        </w:rPr>
        <w:t xml:space="preserve">accounting method </w:t>
      </w:r>
      <w:r w:rsidR="00B25242" w:rsidRPr="00F63DC9">
        <w:rPr>
          <w:rFonts w:asciiTheme="minorHAnsi" w:hAnsiTheme="minorHAnsi" w:cstheme="minorHAnsi"/>
          <w:highlight w:val="yellow"/>
        </w:rPr>
        <w:t xml:space="preserve">No. </w:t>
      </w:r>
      <w:r w:rsidR="00BF2CED" w:rsidRPr="00F63DC9">
        <w:rPr>
          <w:rFonts w:asciiTheme="minorHAnsi" w:hAnsiTheme="minorHAnsi" w:cstheme="minorHAnsi"/>
          <w:highlight w:val="yellow"/>
        </w:rPr>
        <w:t>205</w:t>
      </w:r>
      <w:r w:rsidR="00463809" w:rsidRPr="00F63DC9">
        <w:rPr>
          <w:rFonts w:asciiTheme="minorHAnsi" w:hAnsiTheme="minorHAnsi" w:cstheme="minorHAnsi"/>
        </w:rPr>
        <w:t xml:space="preserve"> for the current taxable period ending </w:t>
      </w:r>
      <w:r w:rsidR="00463809" w:rsidRPr="00F63DC9">
        <w:rPr>
          <w:rFonts w:asciiTheme="minorHAnsi" w:hAnsiTheme="minorHAnsi" w:cstheme="minorHAnsi"/>
          <w:highlight w:val="magenta"/>
        </w:rPr>
        <w:t xml:space="preserve">December 31, </w:t>
      </w:r>
      <w:r w:rsidR="00BF2CED" w:rsidRPr="00F63DC9">
        <w:rPr>
          <w:rFonts w:asciiTheme="minorHAnsi" w:hAnsiTheme="minorHAnsi" w:cstheme="minorHAnsi"/>
          <w:highlight w:val="magenta"/>
        </w:rPr>
        <w:t>20</w:t>
      </w:r>
      <w:r w:rsidR="001844B2">
        <w:rPr>
          <w:rFonts w:asciiTheme="minorHAnsi" w:hAnsiTheme="minorHAnsi" w:cstheme="minorHAnsi"/>
          <w:highlight w:val="magenta"/>
        </w:rPr>
        <w:t>20</w:t>
      </w:r>
      <w:r w:rsidR="00463809" w:rsidRPr="00F63DC9">
        <w:rPr>
          <w:rFonts w:asciiTheme="minorHAnsi" w:hAnsiTheme="minorHAnsi" w:cstheme="minorHAnsi"/>
        </w:rPr>
        <w:t xml:space="preserve">. Method No. </w:t>
      </w:r>
      <w:r w:rsidR="00BF2CED" w:rsidRPr="00F63DC9">
        <w:rPr>
          <w:rFonts w:asciiTheme="minorHAnsi" w:hAnsiTheme="minorHAnsi" w:cstheme="minorHAnsi"/>
        </w:rPr>
        <w:t>205</w:t>
      </w:r>
      <w:r w:rsidR="00463809" w:rsidRPr="00F63DC9">
        <w:rPr>
          <w:rFonts w:asciiTheme="minorHAnsi" w:hAnsiTheme="minorHAnsi" w:cstheme="minorHAnsi"/>
        </w:rPr>
        <w:t xml:space="preserve"> is a </w:t>
      </w:r>
      <w:r w:rsidR="00BF2CED" w:rsidRPr="00F63DC9">
        <w:rPr>
          <w:rFonts w:asciiTheme="minorHAnsi" w:hAnsiTheme="minorHAnsi" w:cstheme="minorHAnsi"/>
        </w:rPr>
        <w:t>change from depreciating a disposed asset or disposed portion of an asset to recognizing gain or loss upon disposition when a taxpayer continues to depreciate the asset or portion that the taxpayer disposed of prior to the year of change under §1.168(</w:t>
      </w:r>
      <w:proofErr w:type="spellStart"/>
      <w:r w:rsidR="00BF2CED" w:rsidRPr="00F63DC9">
        <w:rPr>
          <w:rFonts w:asciiTheme="minorHAnsi" w:hAnsiTheme="minorHAnsi" w:cstheme="minorHAnsi"/>
        </w:rPr>
        <w:t>i</w:t>
      </w:r>
      <w:proofErr w:type="spellEnd"/>
      <w:r w:rsidR="00BF2CED" w:rsidRPr="00F63DC9">
        <w:rPr>
          <w:rFonts w:asciiTheme="minorHAnsi" w:hAnsiTheme="minorHAnsi" w:cstheme="minorHAnsi"/>
        </w:rPr>
        <w:t xml:space="preserve">)-8(d)(2)(iii). </w:t>
      </w:r>
      <w:r w:rsidR="00AA6DD3" w:rsidRPr="00F63DC9">
        <w:rPr>
          <w:rFonts w:asciiTheme="minorHAnsi" w:hAnsiTheme="minorHAnsi" w:cstheme="minorHAnsi"/>
        </w:rPr>
        <w:t>This change is automatic.</w:t>
      </w:r>
    </w:p>
    <w:p w14:paraId="270E0E70" w14:textId="614C99BB" w:rsidR="005A004A" w:rsidRPr="00F63DC9" w:rsidRDefault="005A004A" w:rsidP="00BF2CED">
      <w:pPr>
        <w:jc w:val="both"/>
        <w:rPr>
          <w:rFonts w:asciiTheme="minorHAnsi" w:hAnsiTheme="minorHAnsi" w:cstheme="minorHAnsi"/>
        </w:rPr>
      </w:pPr>
    </w:p>
    <w:p w14:paraId="23FA18CF" w14:textId="77777777" w:rsidR="005A004A" w:rsidRPr="00F63DC9" w:rsidRDefault="005A004A" w:rsidP="005A004A">
      <w:pPr>
        <w:jc w:val="both"/>
        <w:rPr>
          <w:rFonts w:asciiTheme="minorHAnsi" w:hAnsiTheme="minorHAnsi" w:cstheme="minorHAnsi"/>
          <w:b/>
        </w:rPr>
      </w:pPr>
      <w:r w:rsidRPr="00F63DC9">
        <w:rPr>
          <w:rFonts w:asciiTheme="minorHAnsi" w:hAnsiTheme="minorHAnsi" w:cstheme="minorHAnsi"/>
          <w:b/>
          <w:highlight w:val="red"/>
        </w:rPr>
        <w:t>OR</w:t>
      </w:r>
    </w:p>
    <w:p w14:paraId="4C968AE6" w14:textId="77777777" w:rsidR="005A004A" w:rsidRPr="00F63DC9" w:rsidRDefault="005A004A" w:rsidP="005A004A">
      <w:pPr>
        <w:jc w:val="both"/>
        <w:rPr>
          <w:rFonts w:asciiTheme="minorHAnsi" w:hAnsiTheme="minorHAnsi" w:cstheme="minorHAnsi"/>
        </w:rPr>
      </w:pPr>
    </w:p>
    <w:p w14:paraId="465B8141" w14:textId="77777777" w:rsidR="005A004A" w:rsidRPr="00F63DC9" w:rsidRDefault="005A004A" w:rsidP="005A004A">
      <w:pPr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  <w:highlight w:val="yellow"/>
        </w:rPr>
        <w:t>Not applicable.</w:t>
      </w:r>
    </w:p>
    <w:p w14:paraId="6DC53C7C" w14:textId="77777777" w:rsidR="004C1E5B" w:rsidRPr="00F63DC9" w:rsidRDefault="004C1E5B" w:rsidP="004C1E5B">
      <w:pPr>
        <w:jc w:val="both"/>
        <w:rPr>
          <w:rFonts w:asciiTheme="minorHAnsi" w:hAnsiTheme="minorHAnsi" w:cstheme="minorHAnsi"/>
        </w:rPr>
      </w:pPr>
    </w:p>
    <w:p w14:paraId="28D4FC4F" w14:textId="6619EC0C" w:rsidR="00674ACD" w:rsidRPr="00F63DC9" w:rsidRDefault="00BF2CED" w:rsidP="002E0169">
      <w:pPr>
        <w:jc w:val="both"/>
        <w:rPr>
          <w:rFonts w:asciiTheme="minorHAnsi" w:hAnsiTheme="minorHAnsi" w:cstheme="minorHAnsi"/>
          <w:b/>
          <w:u w:val="single"/>
        </w:rPr>
      </w:pPr>
      <w:r w:rsidRPr="00F63DC9">
        <w:rPr>
          <w:rFonts w:asciiTheme="minorHAnsi" w:hAnsiTheme="minorHAnsi" w:cstheme="minorHAnsi"/>
          <w:b/>
          <w:u w:val="single"/>
        </w:rPr>
        <w:t>Part II, Question 14</w:t>
      </w:r>
    </w:p>
    <w:p w14:paraId="0DE025C3" w14:textId="77777777" w:rsidR="00674ACD" w:rsidRPr="00F63DC9" w:rsidRDefault="00674ACD" w:rsidP="00B379EA">
      <w:pPr>
        <w:jc w:val="both"/>
        <w:rPr>
          <w:rFonts w:asciiTheme="minorHAnsi" w:hAnsiTheme="minorHAnsi" w:cstheme="minorHAnsi"/>
        </w:rPr>
      </w:pPr>
    </w:p>
    <w:p w14:paraId="2C115B62" w14:textId="77777777" w:rsidR="00B13435" w:rsidRPr="00F63DC9" w:rsidRDefault="009C0C89" w:rsidP="00B13435">
      <w:pPr>
        <w:pStyle w:val="ListParagraph"/>
        <w:keepNext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>The Applicant is making a change to deducting amounts paid or incurred for repair and maintenance or a change to capitalizing amounts paid or incurred for improvements to tangible property and, if depreciable, to depreciating such property under §</w:t>
      </w:r>
      <w:r w:rsidR="002738E5" w:rsidRPr="00F63DC9">
        <w:rPr>
          <w:rFonts w:asciiTheme="minorHAnsi" w:hAnsiTheme="minorHAnsi" w:cstheme="minorHAnsi"/>
        </w:rPr>
        <w:t xml:space="preserve"> 167 or § 168. Includes a change, if any, in the method of identifying the unit of property, or in the case of a building, identifying the building structure or building systems for the purpose of making this change.</w:t>
      </w:r>
    </w:p>
    <w:p w14:paraId="74FB3442" w14:textId="77777777" w:rsidR="00B13435" w:rsidRPr="00F63DC9" w:rsidRDefault="00B379EA" w:rsidP="00F01D3C">
      <w:pPr>
        <w:pStyle w:val="ListParagraph"/>
        <w:keepNext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The Applicant currently accounts for amounts paid or incurred for tangible property as either </w:t>
      </w:r>
      <w:proofErr w:type="gramStart"/>
      <w:r w:rsidRPr="00F63DC9">
        <w:rPr>
          <w:rFonts w:asciiTheme="minorHAnsi" w:hAnsiTheme="minorHAnsi" w:cstheme="minorHAnsi"/>
        </w:rPr>
        <w:t>items</w:t>
      </w:r>
      <w:proofErr w:type="gramEnd"/>
      <w:r w:rsidRPr="00F63DC9">
        <w:rPr>
          <w:rFonts w:asciiTheme="minorHAnsi" w:hAnsiTheme="minorHAnsi" w:cstheme="minorHAnsi"/>
        </w:rPr>
        <w:t xml:space="preserve"> requiring capitalization under §263(a) or as amounts for repair and maintenance costs</w:t>
      </w:r>
      <w:r w:rsidR="007C2EAA" w:rsidRPr="00F63DC9">
        <w:rPr>
          <w:rFonts w:asciiTheme="minorHAnsi" w:hAnsiTheme="minorHAnsi" w:cstheme="minorHAnsi"/>
        </w:rPr>
        <w:t xml:space="preserve"> under §162</w:t>
      </w:r>
      <w:r w:rsidR="00CE303B" w:rsidRPr="00F63DC9">
        <w:rPr>
          <w:rFonts w:asciiTheme="minorHAnsi" w:hAnsiTheme="minorHAnsi" w:cstheme="minorHAnsi"/>
        </w:rPr>
        <w:t>(a)</w:t>
      </w:r>
      <w:r w:rsidR="007C2EAA" w:rsidRPr="00F63DC9">
        <w:rPr>
          <w:rFonts w:asciiTheme="minorHAnsi" w:hAnsiTheme="minorHAnsi" w:cstheme="minorHAnsi"/>
        </w:rPr>
        <w:t xml:space="preserve"> in accordance with superseded Treasury guidance</w:t>
      </w:r>
      <w:r w:rsidRPr="00F63DC9">
        <w:rPr>
          <w:rFonts w:asciiTheme="minorHAnsi" w:hAnsiTheme="minorHAnsi" w:cstheme="minorHAnsi"/>
        </w:rPr>
        <w:t>. The difference between the current and proposed method is that under the current method</w:t>
      </w:r>
      <w:r w:rsidR="007C2EAA" w:rsidRPr="00F63DC9">
        <w:rPr>
          <w:rFonts w:asciiTheme="minorHAnsi" w:hAnsiTheme="minorHAnsi" w:cstheme="minorHAnsi"/>
        </w:rPr>
        <w:t>,</w:t>
      </w:r>
      <w:r w:rsidRPr="00F63DC9">
        <w:rPr>
          <w:rFonts w:asciiTheme="minorHAnsi" w:hAnsiTheme="minorHAnsi" w:cstheme="minorHAnsi"/>
        </w:rPr>
        <w:t xml:space="preserve"> the Applicant had been capitalizing </w:t>
      </w:r>
      <w:r w:rsidR="00983455" w:rsidRPr="00F63DC9">
        <w:rPr>
          <w:rFonts w:asciiTheme="minorHAnsi" w:hAnsiTheme="minorHAnsi" w:cstheme="minorHAnsi"/>
        </w:rPr>
        <w:t>expenditures</w:t>
      </w:r>
      <w:r w:rsidRPr="00F63DC9">
        <w:rPr>
          <w:rFonts w:asciiTheme="minorHAnsi" w:hAnsiTheme="minorHAnsi" w:cstheme="minorHAnsi"/>
        </w:rPr>
        <w:t xml:space="preserve"> that now, under the guidance of §1.162-4 and/or §1.263(a)-3 will result in more items being deducted as §162 ordinary and necessary business deductions as repair and maintenance cost</w:t>
      </w:r>
      <w:r w:rsidR="001F690E" w:rsidRPr="00F63DC9">
        <w:rPr>
          <w:rFonts w:asciiTheme="minorHAnsi" w:hAnsiTheme="minorHAnsi" w:cstheme="minorHAnsi"/>
        </w:rPr>
        <w:t>s</w:t>
      </w:r>
      <w:r w:rsidRPr="00F63DC9">
        <w:rPr>
          <w:rFonts w:asciiTheme="minorHAnsi" w:hAnsiTheme="minorHAnsi" w:cstheme="minorHAnsi"/>
        </w:rPr>
        <w:t>. The Applicant previously capitalized repairs where under §1.162-4</w:t>
      </w:r>
      <w:r w:rsidR="00463809" w:rsidRPr="00F63DC9">
        <w:rPr>
          <w:rFonts w:asciiTheme="minorHAnsi" w:hAnsiTheme="minorHAnsi" w:cstheme="minorHAnsi"/>
        </w:rPr>
        <w:t>,</w:t>
      </w:r>
      <w:r w:rsidRPr="00F63DC9">
        <w:rPr>
          <w:rFonts w:asciiTheme="minorHAnsi" w:hAnsiTheme="minorHAnsi" w:cstheme="minorHAnsi"/>
        </w:rPr>
        <w:t xml:space="preserve"> those expenditures would have been classified as a repair and maintenance costs.</w:t>
      </w:r>
    </w:p>
    <w:p w14:paraId="3CCF2DD4" w14:textId="77777777" w:rsidR="00B13435" w:rsidRPr="00F63DC9" w:rsidRDefault="00B379EA" w:rsidP="00F01D3C">
      <w:pPr>
        <w:pStyle w:val="ListParagraph"/>
        <w:keepNext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>The Applicant proposes to use the guidance of Treasury Regulations §§1.162-4, 1</w:t>
      </w:r>
      <w:r w:rsidR="005D0CF6" w:rsidRPr="00F63DC9">
        <w:rPr>
          <w:rFonts w:asciiTheme="minorHAnsi" w:hAnsiTheme="minorHAnsi" w:cstheme="minorHAnsi"/>
        </w:rPr>
        <w:t>.</w:t>
      </w:r>
      <w:r w:rsidRPr="00F63DC9">
        <w:rPr>
          <w:rFonts w:asciiTheme="minorHAnsi" w:hAnsiTheme="minorHAnsi" w:cstheme="minorHAnsi"/>
        </w:rPr>
        <w:t>263(a)-1, 1.263(a)-</w:t>
      </w:r>
      <w:proofErr w:type="gramStart"/>
      <w:r w:rsidRPr="00F63DC9">
        <w:rPr>
          <w:rFonts w:asciiTheme="minorHAnsi" w:hAnsiTheme="minorHAnsi" w:cstheme="minorHAnsi"/>
        </w:rPr>
        <w:t>2</w:t>
      </w:r>
      <w:proofErr w:type="gramEnd"/>
      <w:r w:rsidRPr="00F63DC9">
        <w:rPr>
          <w:rFonts w:asciiTheme="minorHAnsi" w:hAnsiTheme="minorHAnsi" w:cstheme="minorHAnsi"/>
        </w:rPr>
        <w:t xml:space="preserve"> and 1.263(a)-3 to determine whether an expenditure should be written off as a repair and maintenance cost or </w:t>
      </w:r>
      <w:r w:rsidR="001F690E" w:rsidRPr="00F63DC9">
        <w:rPr>
          <w:rFonts w:asciiTheme="minorHAnsi" w:hAnsiTheme="minorHAnsi" w:cstheme="minorHAnsi"/>
        </w:rPr>
        <w:t xml:space="preserve">capitalized </w:t>
      </w:r>
      <w:r w:rsidRPr="00F63DC9">
        <w:rPr>
          <w:rFonts w:asciiTheme="minorHAnsi" w:hAnsiTheme="minorHAnsi" w:cstheme="minorHAnsi"/>
        </w:rPr>
        <w:t>under §263(a). The Applicant will follow §1.263(a)-3(e) regarding identification of units of property.</w:t>
      </w:r>
    </w:p>
    <w:p w14:paraId="50E58605" w14:textId="5BBEABBC" w:rsidR="00B379EA" w:rsidRPr="00F63DC9" w:rsidRDefault="00B379EA" w:rsidP="00F01D3C">
      <w:pPr>
        <w:pStyle w:val="ListParagraph"/>
        <w:keepNext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The Applicant uses the </w:t>
      </w:r>
      <w:r w:rsidR="005A004A" w:rsidRPr="00F63DC9">
        <w:rPr>
          <w:rFonts w:asciiTheme="minorHAnsi" w:hAnsiTheme="minorHAnsi" w:cstheme="minorHAnsi"/>
          <w:highlight w:val="green"/>
        </w:rPr>
        <w:t>cash / accrual / a hybrid</w:t>
      </w:r>
      <w:r w:rsidRPr="00F63DC9">
        <w:rPr>
          <w:rFonts w:asciiTheme="minorHAnsi" w:hAnsiTheme="minorHAnsi" w:cstheme="minorHAnsi"/>
        </w:rPr>
        <w:t xml:space="preserve"> method of accounting.</w:t>
      </w:r>
    </w:p>
    <w:p w14:paraId="070C4F19" w14:textId="77777777" w:rsidR="00BD157B" w:rsidRPr="00F63DC9" w:rsidRDefault="00BD157B" w:rsidP="004D54CA">
      <w:pPr>
        <w:jc w:val="both"/>
        <w:rPr>
          <w:rFonts w:asciiTheme="minorHAnsi" w:hAnsiTheme="minorHAnsi" w:cstheme="minorHAnsi"/>
          <w:b/>
          <w:u w:val="single"/>
        </w:rPr>
      </w:pPr>
    </w:p>
    <w:p w14:paraId="7E4332F7" w14:textId="282A06D6" w:rsidR="00873732" w:rsidRPr="00F63DC9" w:rsidRDefault="00BF2CED" w:rsidP="004D54CA">
      <w:pPr>
        <w:jc w:val="both"/>
        <w:rPr>
          <w:rFonts w:asciiTheme="minorHAnsi" w:hAnsiTheme="minorHAnsi" w:cstheme="minorHAnsi"/>
          <w:b/>
          <w:u w:val="single"/>
        </w:rPr>
      </w:pPr>
      <w:r w:rsidRPr="00F63DC9">
        <w:rPr>
          <w:rFonts w:asciiTheme="minorHAnsi" w:hAnsiTheme="minorHAnsi" w:cstheme="minorHAnsi"/>
          <w:b/>
          <w:u w:val="single"/>
        </w:rPr>
        <w:t>Part II, Question 15a</w:t>
      </w:r>
    </w:p>
    <w:p w14:paraId="73073978" w14:textId="77777777" w:rsidR="00873732" w:rsidRPr="00F63DC9" w:rsidRDefault="00873732" w:rsidP="004D54CA">
      <w:pPr>
        <w:jc w:val="both"/>
        <w:rPr>
          <w:rFonts w:asciiTheme="minorHAnsi" w:hAnsiTheme="minorHAnsi" w:cstheme="minorHAnsi"/>
        </w:rPr>
      </w:pPr>
    </w:p>
    <w:p w14:paraId="005C8827" w14:textId="12DD401D" w:rsidR="005036D6" w:rsidRPr="00F63DC9" w:rsidRDefault="005036D6" w:rsidP="005036D6">
      <w:pPr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The Applicant’s trade or business is </w:t>
      </w:r>
      <w:r w:rsidR="002C3AA4" w:rsidRPr="00F63DC9">
        <w:rPr>
          <w:rFonts w:asciiTheme="minorHAnsi" w:hAnsiTheme="minorHAnsi" w:cstheme="minorHAnsi"/>
          <w:highlight w:val="yellow"/>
        </w:rPr>
        <w:t>lessors of nonresidential buildings</w:t>
      </w:r>
      <w:r w:rsidRPr="00F63DC9">
        <w:rPr>
          <w:rFonts w:asciiTheme="minorHAnsi" w:hAnsiTheme="minorHAnsi" w:cstheme="minorHAnsi"/>
          <w:highlight w:val="yellow"/>
        </w:rPr>
        <w:t>.</w:t>
      </w:r>
      <w:r w:rsidR="00B13435" w:rsidRPr="00F63DC9">
        <w:rPr>
          <w:rFonts w:asciiTheme="minorHAnsi" w:hAnsiTheme="minorHAnsi" w:cstheme="minorHAnsi"/>
        </w:rPr>
        <w:t xml:space="preserve"> The principal business activity code is provided on page 1 of this Attachment to the Form 3115.</w:t>
      </w:r>
    </w:p>
    <w:p w14:paraId="7863209B" w14:textId="77777777" w:rsidR="00651993" w:rsidRPr="00F63DC9" w:rsidRDefault="00651993" w:rsidP="004D54CA">
      <w:pPr>
        <w:jc w:val="both"/>
        <w:rPr>
          <w:rFonts w:asciiTheme="minorHAnsi" w:hAnsiTheme="minorHAnsi" w:cstheme="minorHAnsi"/>
        </w:rPr>
      </w:pPr>
    </w:p>
    <w:p w14:paraId="018B4795" w14:textId="77777777" w:rsidR="001844B2" w:rsidRPr="00C22BDD" w:rsidRDefault="001844B2" w:rsidP="001844B2">
      <w:pPr>
        <w:jc w:val="both"/>
        <w:rPr>
          <w:rFonts w:asciiTheme="minorHAnsi" w:hAnsiTheme="minorHAnsi" w:cstheme="minorHAnsi"/>
          <w:b/>
          <w:u w:val="single"/>
        </w:rPr>
      </w:pPr>
      <w:r w:rsidRPr="00C22BDD">
        <w:rPr>
          <w:rFonts w:asciiTheme="minorHAnsi" w:hAnsiTheme="minorHAnsi" w:cstheme="minorHAnsi"/>
          <w:b/>
          <w:u w:val="single"/>
        </w:rPr>
        <w:t>Part II, Question 16</w:t>
      </w:r>
      <w:r>
        <w:rPr>
          <w:rFonts w:asciiTheme="minorHAnsi" w:hAnsiTheme="minorHAnsi" w:cstheme="minorHAnsi"/>
          <w:b/>
          <w:u w:val="single"/>
        </w:rPr>
        <w:t>a &amp; 16b</w:t>
      </w:r>
    </w:p>
    <w:p w14:paraId="5745D6F3" w14:textId="77777777" w:rsidR="001844B2" w:rsidRPr="00C22BDD" w:rsidRDefault="001844B2" w:rsidP="001844B2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D540E7B" w14:textId="77777777" w:rsidR="001844B2" w:rsidRPr="00C22BDD" w:rsidRDefault="001844B2" w:rsidP="001844B2">
      <w:pPr>
        <w:rPr>
          <w:rFonts w:asciiTheme="minorHAnsi" w:hAnsiTheme="minorHAnsi" w:cstheme="minorHAnsi"/>
        </w:rPr>
      </w:pPr>
      <w:r w:rsidRPr="00C22BDD">
        <w:rPr>
          <w:rFonts w:asciiTheme="minorHAnsi" w:hAnsiTheme="minorHAnsi" w:cstheme="minorHAnsi"/>
        </w:rPr>
        <w:t>This information is provided below in response to Schedule E, Line 4a.</w:t>
      </w:r>
    </w:p>
    <w:p w14:paraId="51238748" w14:textId="77777777" w:rsidR="00BF2CED" w:rsidRPr="00F63DC9" w:rsidRDefault="00BF2CED" w:rsidP="004D54CA">
      <w:pPr>
        <w:jc w:val="both"/>
        <w:rPr>
          <w:rFonts w:asciiTheme="minorHAnsi" w:hAnsiTheme="minorHAnsi" w:cstheme="minorHAnsi"/>
        </w:rPr>
      </w:pPr>
    </w:p>
    <w:p w14:paraId="0DE6D053" w14:textId="5B9FFD8B" w:rsidR="00651993" w:rsidRPr="00F63DC9" w:rsidRDefault="00BF2CED" w:rsidP="004D54CA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  <w:bookmarkStart w:id="2" w:name="_Hlk526837561"/>
      <w:r w:rsidRPr="00F63DC9">
        <w:rPr>
          <w:rFonts w:asciiTheme="minorHAnsi" w:hAnsiTheme="minorHAnsi" w:cstheme="minorHAnsi"/>
          <w:b/>
          <w:highlight w:val="yellow"/>
          <w:u w:val="single"/>
        </w:rPr>
        <w:t>Part II, Question 17</w:t>
      </w:r>
    </w:p>
    <w:p w14:paraId="6AD2B6EC" w14:textId="77777777" w:rsidR="00651993" w:rsidRPr="00F63DC9" w:rsidRDefault="00651993" w:rsidP="004D54CA">
      <w:pPr>
        <w:jc w:val="both"/>
        <w:rPr>
          <w:rFonts w:asciiTheme="minorHAnsi" w:hAnsiTheme="minorHAnsi" w:cstheme="minorHAnsi"/>
          <w:highlight w:val="yellow"/>
        </w:rPr>
      </w:pPr>
    </w:p>
    <w:bookmarkEnd w:id="2"/>
    <w:p w14:paraId="4055DF51" w14:textId="77777777" w:rsidR="001844B2" w:rsidRPr="00AF774A" w:rsidRDefault="001844B2" w:rsidP="001844B2">
      <w:pPr>
        <w:jc w:val="both"/>
        <w:rPr>
          <w:rFonts w:asciiTheme="minorHAnsi" w:hAnsiTheme="minorHAnsi" w:cstheme="minorHAnsi"/>
          <w:color w:val="FF0000"/>
        </w:rPr>
      </w:pPr>
      <w:r w:rsidRPr="00AF774A">
        <w:rPr>
          <w:rFonts w:asciiTheme="minorHAnsi" w:hAnsiTheme="minorHAnsi" w:cstheme="minorHAnsi"/>
          <w:color w:val="FF0000"/>
        </w:rPr>
        <w:t>If ‘</w:t>
      </w:r>
      <w:r>
        <w:rPr>
          <w:rFonts w:asciiTheme="minorHAnsi" w:hAnsiTheme="minorHAnsi" w:cstheme="minorHAnsi"/>
          <w:color w:val="FF0000"/>
        </w:rPr>
        <w:t>No</w:t>
      </w:r>
      <w:r w:rsidRPr="00AF774A">
        <w:rPr>
          <w:rFonts w:asciiTheme="minorHAnsi" w:hAnsiTheme="minorHAnsi" w:cstheme="minorHAnsi"/>
          <w:color w:val="FF0000"/>
        </w:rPr>
        <w:t>’</w:t>
      </w:r>
    </w:p>
    <w:p w14:paraId="39650E94" w14:textId="77777777" w:rsidR="001844B2" w:rsidRPr="00C22BDD" w:rsidRDefault="001844B2" w:rsidP="001844B2">
      <w:pPr>
        <w:jc w:val="both"/>
        <w:rPr>
          <w:rFonts w:asciiTheme="minorHAnsi" w:hAnsiTheme="minorHAnsi" w:cstheme="minorHAnsi"/>
        </w:rPr>
      </w:pPr>
      <w:r w:rsidRPr="00C22BDD">
        <w:rPr>
          <w:rFonts w:asciiTheme="minorHAnsi" w:hAnsiTheme="minorHAnsi" w:cstheme="minorHAnsi"/>
          <w:highlight w:val="yellow"/>
        </w:rPr>
        <w:t xml:space="preserve">The change of accounting method will not be used for the Applicant’s books, </w:t>
      </w:r>
      <w:proofErr w:type="gramStart"/>
      <w:r w:rsidRPr="00C22BDD">
        <w:rPr>
          <w:rFonts w:asciiTheme="minorHAnsi" w:hAnsiTheme="minorHAnsi" w:cstheme="minorHAnsi"/>
          <w:highlight w:val="yellow"/>
        </w:rPr>
        <w:t>records</w:t>
      </w:r>
      <w:proofErr w:type="gramEnd"/>
      <w:r w:rsidRPr="00C22BDD">
        <w:rPr>
          <w:rFonts w:asciiTheme="minorHAnsi" w:hAnsiTheme="minorHAnsi" w:cstheme="minorHAnsi"/>
          <w:highlight w:val="yellow"/>
        </w:rPr>
        <w:t xml:space="preserve"> and financial statements because the change of accounting method is not required or permitted under generally accepted accounting principles (GAAP).</w:t>
      </w:r>
    </w:p>
    <w:p w14:paraId="74ED09AC" w14:textId="77777777" w:rsidR="001844B2" w:rsidRDefault="001844B2" w:rsidP="001844B2">
      <w:pPr>
        <w:jc w:val="both"/>
        <w:rPr>
          <w:rFonts w:asciiTheme="minorHAnsi" w:hAnsiTheme="minorHAnsi" w:cstheme="minorHAnsi"/>
        </w:rPr>
      </w:pPr>
    </w:p>
    <w:p w14:paraId="4498F762" w14:textId="77777777" w:rsidR="001844B2" w:rsidRPr="00AF774A" w:rsidRDefault="001844B2" w:rsidP="001844B2">
      <w:pPr>
        <w:jc w:val="both"/>
        <w:rPr>
          <w:rFonts w:asciiTheme="minorHAnsi" w:hAnsiTheme="minorHAnsi" w:cstheme="minorHAnsi"/>
          <w:color w:val="FF0000"/>
        </w:rPr>
      </w:pPr>
      <w:r w:rsidRPr="00AF774A">
        <w:rPr>
          <w:rFonts w:asciiTheme="minorHAnsi" w:hAnsiTheme="minorHAnsi" w:cstheme="minorHAnsi"/>
          <w:color w:val="FF0000"/>
        </w:rPr>
        <w:t>If ‘Yes’</w:t>
      </w:r>
    </w:p>
    <w:p w14:paraId="3B5733A8" w14:textId="77777777" w:rsidR="001844B2" w:rsidRPr="00C22BDD" w:rsidRDefault="001844B2" w:rsidP="001844B2">
      <w:pPr>
        <w:jc w:val="both"/>
        <w:rPr>
          <w:rFonts w:asciiTheme="minorHAnsi" w:hAnsiTheme="minorHAnsi" w:cstheme="minorHAnsi"/>
        </w:rPr>
      </w:pPr>
      <w:r w:rsidRPr="00C22BDD">
        <w:rPr>
          <w:rFonts w:asciiTheme="minorHAnsi" w:hAnsiTheme="minorHAnsi" w:cstheme="minorHAnsi"/>
          <w:highlight w:val="yellow"/>
        </w:rPr>
        <w:t xml:space="preserve">The change of accounting method </w:t>
      </w:r>
      <w:r w:rsidRPr="001844B2">
        <w:rPr>
          <w:rFonts w:asciiTheme="minorHAnsi" w:hAnsiTheme="minorHAnsi" w:cstheme="minorHAnsi"/>
          <w:highlight w:val="yellow"/>
        </w:rPr>
        <w:t xml:space="preserve">will be used for the Applicant’s books, </w:t>
      </w:r>
      <w:proofErr w:type="gramStart"/>
      <w:r w:rsidRPr="001844B2">
        <w:rPr>
          <w:rFonts w:asciiTheme="minorHAnsi" w:hAnsiTheme="minorHAnsi" w:cstheme="minorHAnsi"/>
          <w:highlight w:val="yellow"/>
        </w:rPr>
        <w:t>records</w:t>
      </w:r>
      <w:proofErr w:type="gramEnd"/>
      <w:r w:rsidRPr="001844B2">
        <w:rPr>
          <w:rFonts w:asciiTheme="minorHAnsi" w:hAnsiTheme="minorHAnsi" w:cstheme="minorHAnsi"/>
          <w:highlight w:val="yellow"/>
        </w:rPr>
        <w:t xml:space="preserve"> and financial statements; therefore, no response is necessary.</w:t>
      </w:r>
      <w:r>
        <w:rPr>
          <w:rFonts w:asciiTheme="minorHAnsi" w:hAnsiTheme="minorHAnsi" w:cstheme="minorHAnsi"/>
        </w:rPr>
        <w:t xml:space="preserve"> </w:t>
      </w:r>
    </w:p>
    <w:p w14:paraId="621AA69F" w14:textId="77777777" w:rsidR="00651993" w:rsidRPr="00F63DC9" w:rsidRDefault="00651993" w:rsidP="004D54CA">
      <w:pPr>
        <w:jc w:val="both"/>
        <w:rPr>
          <w:rFonts w:asciiTheme="minorHAnsi" w:hAnsiTheme="minorHAnsi" w:cstheme="minorHAnsi"/>
        </w:rPr>
      </w:pPr>
    </w:p>
    <w:p w14:paraId="33770E69" w14:textId="5451C03C" w:rsidR="00651993" w:rsidRPr="00F63DC9" w:rsidRDefault="00BF2CED" w:rsidP="00BD157B">
      <w:pPr>
        <w:keepNext/>
        <w:jc w:val="both"/>
        <w:rPr>
          <w:rFonts w:asciiTheme="minorHAnsi" w:hAnsiTheme="minorHAnsi" w:cstheme="minorHAnsi"/>
          <w:b/>
          <w:u w:val="single"/>
        </w:rPr>
      </w:pPr>
      <w:r w:rsidRPr="00F63DC9">
        <w:rPr>
          <w:rFonts w:asciiTheme="minorHAnsi" w:hAnsiTheme="minorHAnsi" w:cstheme="minorHAnsi"/>
          <w:b/>
          <w:u w:val="single"/>
        </w:rPr>
        <w:t>Part II, Question 18</w:t>
      </w:r>
    </w:p>
    <w:p w14:paraId="79709427" w14:textId="77777777" w:rsidR="00873732" w:rsidRPr="00F63DC9" w:rsidRDefault="00873732" w:rsidP="00BD157B">
      <w:pPr>
        <w:keepNext/>
        <w:jc w:val="both"/>
        <w:rPr>
          <w:rFonts w:asciiTheme="minorHAnsi" w:hAnsiTheme="minorHAnsi" w:cstheme="minorHAnsi"/>
        </w:rPr>
      </w:pPr>
    </w:p>
    <w:p w14:paraId="6EF09D58" w14:textId="61A87ACF" w:rsidR="00651993" w:rsidRPr="00F63DC9" w:rsidRDefault="00651993" w:rsidP="00BD157B">
      <w:pPr>
        <w:keepNext/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If it </w:t>
      </w:r>
      <w:r w:rsidR="00587CA4" w:rsidRPr="00F63DC9">
        <w:rPr>
          <w:rFonts w:asciiTheme="minorHAnsi" w:hAnsiTheme="minorHAnsi" w:cstheme="minorHAnsi"/>
        </w:rPr>
        <w:t xml:space="preserve">is </w:t>
      </w:r>
      <w:r w:rsidRPr="00F63DC9">
        <w:rPr>
          <w:rFonts w:asciiTheme="minorHAnsi" w:hAnsiTheme="minorHAnsi" w:cstheme="minorHAnsi"/>
        </w:rPr>
        <w:t xml:space="preserve">tentatively determined that the Applicant has changed its method of </w:t>
      </w:r>
      <w:r w:rsidR="00587CA4" w:rsidRPr="00F63DC9">
        <w:rPr>
          <w:rFonts w:asciiTheme="minorHAnsi" w:hAnsiTheme="minorHAnsi" w:cstheme="minorHAnsi"/>
        </w:rPr>
        <w:t>accounting without complying with all applicable provisions of Rev. Proc. 20</w:t>
      </w:r>
      <w:r w:rsidR="007473D0" w:rsidRPr="00F63DC9">
        <w:rPr>
          <w:rFonts w:asciiTheme="minorHAnsi" w:hAnsiTheme="minorHAnsi" w:cstheme="minorHAnsi"/>
        </w:rPr>
        <w:t>1</w:t>
      </w:r>
      <w:r w:rsidR="00EC641A">
        <w:rPr>
          <w:rFonts w:asciiTheme="minorHAnsi" w:hAnsiTheme="minorHAnsi" w:cstheme="minorHAnsi"/>
        </w:rPr>
        <w:t>9-43</w:t>
      </w:r>
      <w:r w:rsidR="00587CA4" w:rsidRPr="00F63DC9">
        <w:rPr>
          <w:rFonts w:asciiTheme="minorHAnsi" w:hAnsiTheme="minorHAnsi" w:cstheme="minorHAnsi"/>
        </w:rPr>
        <w:t xml:space="preserve">, the privilege of a conference is hereby requested.  </w:t>
      </w:r>
      <w:r w:rsidR="00587CA4" w:rsidRPr="00F63DC9">
        <w:rPr>
          <w:rFonts w:asciiTheme="minorHAnsi" w:hAnsiTheme="minorHAnsi" w:cstheme="minorHAnsi"/>
        </w:rPr>
        <w:br/>
        <w:t xml:space="preserve">To arrange the time and place of such a conference, please contact the </w:t>
      </w:r>
      <w:r w:rsidR="0095137F" w:rsidRPr="00F63DC9">
        <w:rPr>
          <w:rFonts w:asciiTheme="minorHAnsi" w:hAnsiTheme="minorHAnsi" w:cstheme="minorHAnsi"/>
        </w:rPr>
        <w:t>Applicant’s</w:t>
      </w:r>
      <w:r w:rsidR="00587CA4" w:rsidRPr="00F63DC9">
        <w:rPr>
          <w:rFonts w:asciiTheme="minorHAnsi" w:hAnsiTheme="minorHAnsi" w:cstheme="minorHAnsi"/>
        </w:rPr>
        <w:t xml:space="preserve"> representative:</w:t>
      </w:r>
    </w:p>
    <w:p w14:paraId="1FD11881" w14:textId="77777777" w:rsidR="00587CA4" w:rsidRPr="00F63DC9" w:rsidRDefault="00587CA4" w:rsidP="002E0169">
      <w:pPr>
        <w:keepNext/>
        <w:ind w:left="720"/>
        <w:rPr>
          <w:rFonts w:asciiTheme="minorHAnsi" w:hAnsiTheme="minorHAnsi" w:cstheme="minorHAnsi"/>
        </w:rPr>
      </w:pPr>
    </w:p>
    <w:p w14:paraId="069DF132" w14:textId="77777777" w:rsidR="00B13435" w:rsidRPr="00F63DC9" w:rsidRDefault="00B13435" w:rsidP="00B13435">
      <w:pPr>
        <w:keepNext/>
        <w:ind w:left="720"/>
        <w:rPr>
          <w:rFonts w:asciiTheme="minorHAnsi" w:hAnsiTheme="minorHAnsi" w:cstheme="minorHAnsi"/>
        </w:rPr>
      </w:pPr>
      <w:bookmarkStart w:id="3" w:name="OLE_LINK1"/>
      <w:bookmarkStart w:id="4" w:name="OLE_LINK2"/>
      <w:r w:rsidRPr="00F63DC9">
        <w:rPr>
          <w:rFonts w:asciiTheme="minorHAnsi" w:hAnsiTheme="minorHAnsi" w:cstheme="minorHAnsi"/>
        </w:rPr>
        <w:t xml:space="preserve">Name: </w:t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  <w:highlight w:val="yellow"/>
        </w:rPr>
        <w:t>CPA NAME</w:t>
      </w:r>
    </w:p>
    <w:p w14:paraId="743AADB4" w14:textId="77777777" w:rsidR="00B13435" w:rsidRPr="00F63DC9" w:rsidRDefault="00B13435" w:rsidP="00B13435">
      <w:pPr>
        <w:keepNext/>
        <w:ind w:left="720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  <w:highlight w:val="yellow"/>
        </w:rPr>
        <w:t>CPA COMPANY</w:t>
      </w:r>
    </w:p>
    <w:p w14:paraId="0A26C87B" w14:textId="77777777" w:rsidR="00B13435" w:rsidRPr="00F63DC9" w:rsidRDefault="00B13435" w:rsidP="00B13435">
      <w:pPr>
        <w:keepNext/>
        <w:ind w:left="720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Address: </w:t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  <w:highlight w:val="yellow"/>
        </w:rPr>
        <w:t>ADDRESS</w:t>
      </w:r>
    </w:p>
    <w:p w14:paraId="0CE5D45A" w14:textId="77777777" w:rsidR="00B13435" w:rsidRPr="00F63DC9" w:rsidRDefault="00B13435" w:rsidP="00B13435">
      <w:pPr>
        <w:keepNext/>
        <w:ind w:left="720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  <w:highlight w:val="yellow"/>
        </w:rPr>
        <w:t>CITY, STATE, ZIP CODE</w:t>
      </w:r>
    </w:p>
    <w:p w14:paraId="681046FA" w14:textId="77777777" w:rsidR="00B13435" w:rsidRPr="00F63DC9" w:rsidRDefault="00B13435" w:rsidP="00B13435">
      <w:pPr>
        <w:keepNext/>
        <w:ind w:left="720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Phone: </w:t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  <w:highlight w:val="yellow"/>
        </w:rPr>
        <w:t>(XXX) XXX-XXXX</w:t>
      </w:r>
    </w:p>
    <w:p w14:paraId="537FCD32" w14:textId="77777777" w:rsidR="00B13435" w:rsidRPr="00F63DC9" w:rsidRDefault="00B13435" w:rsidP="00B13435">
      <w:pPr>
        <w:keepNext/>
        <w:ind w:left="720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Email: </w:t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  <w:highlight w:val="yellow"/>
        </w:rPr>
        <w:t>CPA EMAIL</w:t>
      </w:r>
    </w:p>
    <w:p w14:paraId="68EFD1FA" w14:textId="77777777" w:rsidR="00B13435" w:rsidRPr="00F63DC9" w:rsidRDefault="00B13435" w:rsidP="00B13435">
      <w:pPr>
        <w:keepNext/>
        <w:ind w:left="720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Fax: </w:t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</w:rPr>
        <w:tab/>
      </w:r>
      <w:r w:rsidRPr="00F63DC9">
        <w:rPr>
          <w:rFonts w:asciiTheme="minorHAnsi" w:hAnsiTheme="minorHAnsi" w:cstheme="minorHAnsi"/>
          <w:highlight w:val="yellow"/>
        </w:rPr>
        <w:t>(XXX) XXX-XXXX</w:t>
      </w:r>
    </w:p>
    <w:bookmarkEnd w:id="3"/>
    <w:bookmarkEnd w:id="4"/>
    <w:p w14:paraId="393E7A81" w14:textId="77777777" w:rsidR="00505FF7" w:rsidRPr="00F63DC9" w:rsidRDefault="00505FF7" w:rsidP="00C433DB">
      <w:pPr>
        <w:pStyle w:val="NoSpacing"/>
        <w:ind w:left="720" w:right="1080"/>
        <w:rPr>
          <w:rFonts w:eastAsia="Times New Roman" w:cstheme="minorHAnsi"/>
          <w:sz w:val="20"/>
          <w:szCs w:val="20"/>
        </w:rPr>
      </w:pPr>
    </w:p>
    <w:p w14:paraId="00A1FD8A" w14:textId="070DB3F6" w:rsidR="00674ACD" w:rsidRPr="00F63DC9" w:rsidRDefault="00C433DB" w:rsidP="00B80556">
      <w:pPr>
        <w:keepNext/>
        <w:jc w:val="both"/>
        <w:rPr>
          <w:rFonts w:asciiTheme="minorHAnsi" w:hAnsiTheme="minorHAnsi" w:cstheme="minorHAnsi"/>
          <w:b/>
          <w:u w:val="single"/>
        </w:rPr>
      </w:pPr>
      <w:r w:rsidRPr="00F63DC9">
        <w:rPr>
          <w:rFonts w:asciiTheme="minorHAnsi" w:hAnsiTheme="minorHAnsi" w:cstheme="minorHAnsi"/>
          <w:b/>
          <w:u w:val="single"/>
        </w:rPr>
        <w:t>P</w:t>
      </w:r>
      <w:r w:rsidR="00BF2CED" w:rsidRPr="00F63DC9">
        <w:rPr>
          <w:rFonts w:asciiTheme="minorHAnsi" w:hAnsiTheme="minorHAnsi" w:cstheme="minorHAnsi"/>
          <w:b/>
          <w:u w:val="single"/>
        </w:rPr>
        <w:t>art IV, Question 26</w:t>
      </w:r>
    </w:p>
    <w:p w14:paraId="61884895" w14:textId="77777777" w:rsidR="00AC438D" w:rsidRPr="00F63DC9" w:rsidRDefault="00AC438D" w:rsidP="00B80556">
      <w:pPr>
        <w:keepNext/>
        <w:jc w:val="both"/>
        <w:rPr>
          <w:rFonts w:asciiTheme="minorHAnsi" w:hAnsiTheme="minorHAnsi" w:cstheme="minorHAnsi"/>
        </w:rPr>
      </w:pPr>
    </w:p>
    <w:p w14:paraId="0E51E7C5" w14:textId="0DF864FC" w:rsidR="00D51956" w:rsidRPr="00F63DC9" w:rsidRDefault="00F01D3C" w:rsidP="0029322D">
      <w:pPr>
        <w:keepNext/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</w:rPr>
        <w:t xml:space="preserve">The §481(a) adjustment was calculated by subtracting proposed accumulated depreciation (i.e., </w:t>
      </w:r>
      <w:r w:rsidR="001F690E" w:rsidRPr="00F63DC9">
        <w:rPr>
          <w:rFonts w:asciiTheme="minorHAnsi" w:hAnsiTheme="minorHAnsi" w:cstheme="minorHAnsi"/>
        </w:rPr>
        <w:t xml:space="preserve">adjusting the depreciation system to </w:t>
      </w:r>
      <w:r w:rsidRPr="00F63DC9">
        <w:rPr>
          <w:rFonts w:asciiTheme="minorHAnsi" w:hAnsiTheme="minorHAnsi" w:cstheme="minorHAnsi"/>
        </w:rPr>
        <w:t xml:space="preserve">treat repair and maintenance expenditures that were improperly capitalized as being fully depreciated) and then subtracting accumulated depreciation as originally filed as of </w:t>
      </w:r>
      <w:r w:rsidRPr="00F63DC9">
        <w:rPr>
          <w:rFonts w:asciiTheme="minorHAnsi" w:hAnsiTheme="minorHAnsi" w:cstheme="minorHAnsi"/>
          <w:highlight w:val="lightGray"/>
        </w:rPr>
        <w:t>December 31</w:t>
      </w:r>
      <w:r w:rsidR="00BF2CED" w:rsidRPr="00F63DC9">
        <w:rPr>
          <w:rFonts w:asciiTheme="minorHAnsi" w:hAnsiTheme="minorHAnsi" w:cstheme="minorHAnsi"/>
          <w:highlight w:val="lightGray"/>
        </w:rPr>
        <w:t>, 201</w:t>
      </w:r>
      <w:r w:rsidR="001844B2">
        <w:rPr>
          <w:rFonts w:asciiTheme="minorHAnsi" w:hAnsiTheme="minorHAnsi" w:cstheme="minorHAnsi"/>
          <w:highlight w:val="lightGray"/>
        </w:rPr>
        <w:t>9</w:t>
      </w:r>
      <w:r w:rsidRPr="00F63DC9">
        <w:rPr>
          <w:rFonts w:asciiTheme="minorHAnsi" w:hAnsiTheme="minorHAnsi" w:cstheme="minorHAnsi"/>
        </w:rPr>
        <w:t>.</w:t>
      </w:r>
    </w:p>
    <w:p w14:paraId="5369B027" w14:textId="77777777" w:rsidR="00B13435" w:rsidRPr="00F63DC9" w:rsidRDefault="00B13435" w:rsidP="00B13435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909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6210"/>
        <w:gridCol w:w="522"/>
        <w:gridCol w:w="1440"/>
      </w:tblGrid>
      <w:tr w:rsidR="00B13435" w:rsidRPr="00F63DC9" w14:paraId="0DDB4522" w14:textId="77777777" w:rsidTr="00C96614">
        <w:trPr>
          <w:trHeight w:val="227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AD2D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  <w:bookmarkStart w:id="5" w:name="_Hlk532829758"/>
            <w:r w:rsidRPr="00F63DC9">
              <w:rPr>
                <w:rFonts w:asciiTheme="minorHAnsi" w:hAnsiTheme="minorHAnsi" w:cstheme="minorHAnsi"/>
                <w:color w:val="FF0000"/>
              </w:rPr>
              <w:t xml:space="preserve">Section 481(a) Adjustment </w:t>
            </w:r>
          </w:p>
        </w:tc>
      </w:tr>
      <w:tr w:rsidR="00B13435" w:rsidRPr="00F63DC9" w14:paraId="3F9759EB" w14:textId="77777777" w:rsidTr="00C96614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7DC27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A3DA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BBA51" w14:textId="77777777" w:rsidR="00B13435" w:rsidRPr="00F63DC9" w:rsidRDefault="00B13435" w:rsidP="00C96614">
            <w:pPr>
              <w:tabs>
                <w:tab w:val="decimal" w:pos="1692"/>
              </w:tabs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13435" w:rsidRPr="00F63DC9" w14:paraId="46339FD2" w14:textId="77777777" w:rsidTr="00C96614">
        <w:trPr>
          <w:trHeight w:val="45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5175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ED21E" w14:textId="55CDA741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 xml:space="preserve">Cumulative depreciation and/or amortization claimed on assets being changed as of </w:t>
            </w:r>
            <w:r w:rsidRPr="00F63DC9">
              <w:rPr>
                <w:rFonts w:asciiTheme="minorHAnsi" w:hAnsiTheme="minorHAnsi" w:cstheme="minorHAnsi"/>
                <w:color w:val="FF0000"/>
                <w:highlight w:val="lightGray"/>
              </w:rPr>
              <w:t>December 31, 201</w:t>
            </w:r>
            <w:r w:rsidR="001844B2">
              <w:rPr>
                <w:rFonts w:asciiTheme="minorHAnsi" w:hAnsiTheme="minorHAnsi" w:cstheme="minorHAnsi"/>
                <w:color w:val="FF0000"/>
                <w:highlight w:val="lightGray"/>
              </w:rPr>
              <w:t>9</w:t>
            </w:r>
            <w:r w:rsidRPr="00F63DC9">
              <w:rPr>
                <w:rFonts w:asciiTheme="minorHAnsi" w:hAnsiTheme="minorHAnsi" w:cstheme="minorHAnsi"/>
                <w:color w:val="FF0000"/>
              </w:rPr>
              <w:t xml:space="preserve"> under the </w:t>
            </w:r>
            <w:r w:rsidRPr="00F63DC9">
              <w:rPr>
                <w:rFonts w:asciiTheme="minorHAnsi" w:hAnsiTheme="minorHAnsi" w:cstheme="minorHAnsi"/>
                <w:b/>
                <w:color w:val="FF0000"/>
              </w:rPr>
              <w:t>present</w:t>
            </w:r>
            <w:r w:rsidRPr="00F63DC9">
              <w:rPr>
                <w:rFonts w:asciiTheme="minorHAnsi" w:hAnsiTheme="minorHAnsi" w:cstheme="minorHAnsi"/>
                <w:color w:val="FF0000"/>
              </w:rPr>
              <w:t xml:space="preserve"> method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8FDC" w14:textId="77777777" w:rsidR="00B13435" w:rsidRPr="00F63DC9" w:rsidRDefault="00B13435" w:rsidP="00C96614">
            <w:pPr>
              <w:tabs>
                <w:tab w:val="decimal" w:pos="1692"/>
              </w:tabs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 xml:space="preserve">$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E9EEC" w14:textId="77777777" w:rsidR="00B13435" w:rsidRPr="00F63DC9" w:rsidRDefault="00B13435" w:rsidP="00C96614">
            <w:pPr>
              <w:tabs>
                <w:tab w:val="decimal" w:pos="1065"/>
              </w:tabs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>#,###,###</w:t>
            </w:r>
          </w:p>
        </w:tc>
      </w:tr>
      <w:tr w:rsidR="00B13435" w:rsidRPr="00F63DC9" w14:paraId="3F9755EE" w14:textId="77777777" w:rsidTr="00C96614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1E32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E3502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48D8E" w14:textId="77777777" w:rsidR="00B13435" w:rsidRPr="00F63DC9" w:rsidRDefault="00B13435" w:rsidP="00C96614">
            <w:pPr>
              <w:tabs>
                <w:tab w:val="decimal" w:pos="1692"/>
              </w:tabs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13435" w:rsidRPr="00F63DC9" w14:paraId="0E010988" w14:textId="77777777" w:rsidTr="00C96614">
        <w:trPr>
          <w:trHeight w:val="45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6108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3404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 xml:space="preserve">Depreciation and/or amortization allowed on assets being changed as </w:t>
            </w:r>
          </w:p>
          <w:p w14:paraId="30BB5B90" w14:textId="197482D3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 xml:space="preserve">of </w:t>
            </w:r>
            <w:r w:rsidRPr="00F63DC9">
              <w:rPr>
                <w:rFonts w:asciiTheme="minorHAnsi" w:hAnsiTheme="minorHAnsi" w:cstheme="minorHAnsi"/>
                <w:color w:val="FF0000"/>
                <w:highlight w:val="lightGray"/>
              </w:rPr>
              <w:t>December 31, 201</w:t>
            </w:r>
            <w:r w:rsidR="001844B2">
              <w:rPr>
                <w:rFonts w:asciiTheme="minorHAnsi" w:hAnsiTheme="minorHAnsi" w:cstheme="minorHAnsi"/>
                <w:color w:val="FF0000"/>
                <w:highlight w:val="lightGray"/>
              </w:rPr>
              <w:t>9</w:t>
            </w:r>
            <w:r w:rsidRPr="00F63DC9">
              <w:rPr>
                <w:rFonts w:asciiTheme="minorHAnsi" w:hAnsiTheme="minorHAnsi" w:cstheme="minorHAnsi"/>
                <w:color w:val="FF0000"/>
              </w:rPr>
              <w:t xml:space="preserve"> under the </w:t>
            </w:r>
            <w:r w:rsidRPr="00F63DC9">
              <w:rPr>
                <w:rFonts w:asciiTheme="minorHAnsi" w:hAnsiTheme="minorHAnsi" w:cstheme="minorHAnsi"/>
                <w:b/>
                <w:color w:val="FF0000"/>
              </w:rPr>
              <w:t>proposed</w:t>
            </w:r>
            <w:r w:rsidRPr="00F63DC9">
              <w:rPr>
                <w:rFonts w:asciiTheme="minorHAnsi" w:hAnsiTheme="minorHAnsi" w:cstheme="minorHAnsi"/>
                <w:color w:val="FF0000"/>
              </w:rPr>
              <w:t xml:space="preserve"> method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828C" w14:textId="77777777" w:rsidR="00B13435" w:rsidRPr="00F63DC9" w:rsidRDefault="00B13435" w:rsidP="00C96614">
            <w:pPr>
              <w:tabs>
                <w:tab w:val="decimal" w:pos="1692"/>
              </w:tabs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13435" w:rsidRPr="00F63DC9" w14:paraId="00461D13" w14:textId="77777777" w:rsidTr="00C96614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639F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5B3F6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5BF1C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>Personal Property – 57.0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4760" w14:textId="77777777" w:rsidR="00B13435" w:rsidRPr="00F63DC9" w:rsidRDefault="00B13435" w:rsidP="00C96614">
            <w:pPr>
              <w:tabs>
                <w:tab w:val="decimal" w:pos="1692"/>
              </w:tabs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 xml:space="preserve">$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FC2E" w14:textId="77777777" w:rsidR="00B13435" w:rsidRPr="00F63DC9" w:rsidRDefault="00B13435" w:rsidP="00C96614">
            <w:pPr>
              <w:tabs>
                <w:tab w:val="decimal" w:pos="1065"/>
              </w:tabs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>###,###</w:t>
            </w:r>
          </w:p>
        </w:tc>
      </w:tr>
      <w:tr w:rsidR="00B13435" w:rsidRPr="00F63DC9" w14:paraId="098C6932" w14:textId="77777777" w:rsidTr="00C96614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0366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1AF3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FBBA8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>Personal Property: Computer Electrical – 00.12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2500" w14:textId="77777777" w:rsidR="00B13435" w:rsidRPr="00F63DC9" w:rsidRDefault="00B13435" w:rsidP="00C96614">
            <w:pPr>
              <w:tabs>
                <w:tab w:val="decimal" w:pos="1692"/>
              </w:tabs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 xml:space="preserve">$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B4C57" w14:textId="77777777" w:rsidR="00B13435" w:rsidRPr="00F63DC9" w:rsidRDefault="00B13435" w:rsidP="00C96614">
            <w:pPr>
              <w:tabs>
                <w:tab w:val="decimal" w:pos="1065"/>
              </w:tabs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>##,###</w:t>
            </w:r>
          </w:p>
        </w:tc>
      </w:tr>
      <w:tr w:rsidR="00B13435" w:rsidRPr="00F63DC9" w14:paraId="73859664" w14:textId="77777777" w:rsidTr="00C96614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507E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EDDA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9BC9B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>Site Improvements – 00.3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5C41" w14:textId="77777777" w:rsidR="00B13435" w:rsidRPr="00F63DC9" w:rsidRDefault="00B13435" w:rsidP="00C96614">
            <w:pPr>
              <w:tabs>
                <w:tab w:val="decimal" w:pos="1692"/>
              </w:tabs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 xml:space="preserve">$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EA33" w14:textId="77777777" w:rsidR="00B13435" w:rsidRPr="00F63DC9" w:rsidRDefault="00B13435" w:rsidP="00C96614">
            <w:pPr>
              <w:tabs>
                <w:tab w:val="decimal" w:pos="1065"/>
              </w:tabs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>###,###</w:t>
            </w:r>
          </w:p>
        </w:tc>
      </w:tr>
      <w:tr w:rsidR="00B13435" w:rsidRPr="00F63DC9" w14:paraId="2DDAB91D" w14:textId="77777777" w:rsidTr="00C96614">
        <w:trPr>
          <w:trHeight w:val="22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81DF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387A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92CF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>Building – RP39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1FE05" w14:textId="77777777" w:rsidR="00B13435" w:rsidRPr="00F63DC9" w:rsidRDefault="00B13435" w:rsidP="00C96614">
            <w:pPr>
              <w:tabs>
                <w:tab w:val="decimal" w:pos="1692"/>
              </w:tabs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 xml:space="preserve">$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D218" w14:textId="77777777" w:rsidR="00B13435" w:rsidRPr="00F63DC9" w:rsidRDefault="00B13435" w:rsidP="00C96614">
            <w:pPr>
              <w:tabs>
                <w:tab w:val="decimal" w:pos="1065"/>
              </w:tabs>
              <w:rPr>
                <w:rFonts w:asciiTheme="minorHAnsi" w:hAnsiTheme="minorHAnsi" w:cstheme="minorHAnsi"/>
                <w:color w:val="FF0000"/>
              </w:rPr>
            </w:pPr>
            <w:r w:rsidRPr="00F63DC9">
              <w:rPr>
                <w:rFonts w:asciiTheme="minorHAnsi" w:hAnsiTheme="minorHAnsi" w:cstheme="minorHAnsi"/>
                <w:color w:val="FF0000"/>
              </w:rPr>
              <w:t>#,###,###</w:t>
            </w:r>
          </w:p>
        </w:tc>
      </w:tr>
      <w:tr w:rsidR="00B13435" w:rsidRPr="00F63DC9" w14:paraId="223F159F" w14:textId="77777777" w:rsidTr="00C96614">
        <w:trPr>
          <w:trHeight w:val="13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5192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D2252D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E93911" w14:textId="77777777" w:rsidR="00B13435" w:rsidRPr="00F63DC9" w:rsidRDefault="00B13435" w:rsidP="00C96614">
            <w:pPr>
              <w:tabs>
                <w:tab w:val="decimal" w:pos="1242"/>
                <w:tab w:val="decimal" w:pos="1692"/>
              </w:tabs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13435" w:rsidRPr="00F63DC9" w14:paraId="6D941671" w14:textId="77777777" w:rsidTr="00C96614">
        <w:trPr>
          <w:trHeight w:val="23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436F" w14:textId="77777777" w:rsidR="00B13435" w:rsidRPr="00F63DC9" w:rsidRDefault="00B13435" w:rsidP="00C9661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80EEE4" w14:textId="77777777" w:rsidR="00B13435" w:rsidRPr="00F63DC9" w:rsidRDefault="00B13435" w:rsidP="00C9661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63DC9">
              <w:rPr>
                <w:rFonts w:asciiTheme="minorHAnsi" w:hAnsiTheme="minorHAnsi" w:cstheme="minorHAnsi"/>
                <w:b/>
                <w:color w:val="FF0000"/>
              </w:rPr>
              <w:t>Difference (negative §481(a) Adjustment)</w:t>
            </w: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595414" w14:textId="77777777" w:rsidR="00B13435" w:rsidRPr="00F63DC9" w:rsidRDefault="00B13435" w:rsidP="00C96614">
            <w:pPr>
              <w:tabs>
                <w:tab w:val="decimal" w:pos="1692"/>
              </w:tabs>
              <w:rPr>
                <w:rFonts w:asciiTheme="minorHAnsi" w:hAnsiTheme="minorHAnsi" w:cstheme="minorHAnsi"/>
                <w:b/>
                <w:color w:val="FF0000"/>
              </w:rPr>
            </w:pPr>
            <w:r w:rsidRPr="00F63DC9">
              <w:rPr>
                <w:rFonts w:asciiTheme="minorHAnsi" w:hAnsiTheme="minorHAnsi" w:cstheme="minorHAnsi"/>
                <w:b/>
                <w:color w:val="FF0000"/>
              </w:rPr>
              <w:t>( $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FB6665" w14:textId="77777777" w:rsidR="00B13435" w:rsidRPr="00F63DC9" w:rsidRDefault="00B13435" w:rsidP="00C96614">
            <w:pPr>
              <w:tabs>
                <w:tab w:val="decimal" w:pos="1692"/>
              </w:tabs>
              <w:rPr>
                <w:rFonts w:asciiTheme="minorHAnsi" w:hAnsiTheme="minorHAnsi" w:cstheme="minorHAnsi"/>
                <w:b/>
                <w:color w:val="FF0000"/>
              </w:rPr>
            </w:pPr>
            <w:r w:rsidRPr="00F63DC9">
              <w:rPr>
                <w:rFonts w:asciiTheme="minorHAnsi" w:hAnsiTheme="minorHAnsi" w:cstheme="minorHAnsi"/>
                <w:b/>
                <w:color w:val="FF0000"/>
              </w:rPr>
              <w:t>#,###,### )</w:t>
            </w:r>
          </w:p>
        </w:tc>
      </w:tr>
      <w:bookmarkEnd w:id="5"/>
    </w:tbl>
    <w:p w14:paraId="652DE083" w14:textId="77777777" w:rsidR="00B13435" w:rsidRPr="00F63DC9" w:rsidRDefault="00B13435" w:rsidP="00B13435">
      <w:pPr>
        <w:jc w:val="both"/>
        <w:rPr>
          <w:rFonts w:asciiTheme="minorHAnsi" w:hAnsiTheme="minorHAnsi" w:cstheme="minorHAnsi"/>
        </w:rPr>
      </w:pPr>
    </w:p>
    <w:p w14:paraId="2C0AFE59" w14:textId="77777777" w:rsidR="00B13435" w:rsidRPr="00F63DC9" w:rsidRDefault="00B13435" w:rsidP="00B13435">
      <w:pPr>
        <w:keepNext/>
        <w:ind w:firstLine="720"/>
        <w:jc w:val="center"/>
        <w:rPr>
          <w:rFonts w:asciiTheme="minorHAnsi" w:hAnsiTheme="minorHAnsi" w:cstheme="minorHAnsi"/>
          <w:b/>
          <w:color w:val="FF0000"/>
        </w:rPr>
      </w:pPr>
      <w:bookmarkStart w:id="6" w:name="_Hlk532828808"/>
      <w:r w:rsidRPr="00F63DC9">
        <w:rPr>
          <w:rFonts w:asciiTheme="minorHAnsi" w:hAnsiTheme="minorHAnsi" w:cstheme="minorHAnsi"/>
          <w:highlight w:val="red"/>
        </w:rPr>
        <w:t xml:space="preserve">Due to minor rounding differences between depreciation systems, the 481(a) adjustment </w:t>
      </w:r>
      <w:proofErr w:type="gramStart"/>
      <w:r w:rsidRPr="00F63DC9">
        <w:rPr>
          <w:rFonts w:asciiTheme="minorHAnsi" w:hAnsiTheme="minorHAnsi" w:cstheme="minorHAnsi"/>
          <w:highlight w:val="red"/>
        </w:rPr>
        <w:t>is actually</w:t>
      </w:r>
      <w:proofErr w:type="gramEnd"/>
      <w:r w:rsidRPr="00F63DC9">
        <w:rPr>
          <w:rFonts w:asciiTheme="minorHAnsi" w:hAnsiTheme="minorHAnsi" w:cstheme="minorHAnsi"/>
          <w:color w:val="990033"/>
          <w:highlight w:val="red"/>
        </w:rPr>
        <w:t xml:space="preserve"> </w:t>
      </w:r>
      <w:r w:rsidRPr="00F63DC9">
        <w:rPr>
          <w:rFonts w:asciiTheme="minorHAnsi" w:hAnsiTheme="minorHAnsi" w:cstheme="minorHAnsi"/>
          <w:b/>
          <w:color w:val="990033"/>
          <w:highlight w:val="red"/>
        </w:rPr>
        <w:t>($1,000)</w:t>
      </w:r>
      <w:r w:rsidRPr="00F63DC9">
        <w:rPr>
          <w:rFonts w:asciiTheme="minorHAnsi" w:hAnsiTheme="minorHAnsi" w:cstheme="minorHAnsi"/>
          <w:highlight w:val="red"/>
        </w:rPr>
        <w:t>.</w:t>
      </w:r>
    </w:p>
    <w:p w14:paraId="3CCC605E" w14:textId="77777777" w:rsidR="00B13435" w:rsidRPr="00F63DC9" w:rsidRDefault="00B13435" w:rsidP="00B13435">
      <w:pPr>
        <w:ind w:firstLine="720"/>
        <w:jc w:val="both"/>
        <w:rPr>
          <w:rFonts w:asciiTheme="minorHAnsi" w:hAnsiTheme="minorHAnsi" w:cstheme="minorHAnsi"/>
          <w:b/>
          <w:highlight w:val="red"/>
        </w:rPr>
      </w:pPr>
    </w:p>
    <w:p w14:paraId="0799CD4B" w14:textId="77777777" w:rsidR="00B13435" w:rsidRPr="00F63DC9" w:rsidRDefault="00B13435" w:rsidP="00B13435">
      <w:pPr>
        <w:ind w:firstLine="720"/>
        <w:jc w:val="both"/>
        <w:rPr>
          <w:rFonts w:asciiTheme="minorHAnsi" w:hAnsiTheme="minorHAnsi" w:cstheme="minorHAnsi"/>
        </w:rPr>
      </w:pPr>
      <w:r w:rsidRPr="00F63DC9">
        <w:rPr>
          <w:rFonts w:asciiTheme="minorHAnsi" w:hAnsiTheme="minorHAnsi" w:cstheme="minorHAnsi"/>
          <w:b/>
          <w:highlight w:val="red"/>
        </w:rPr>
        <w:t>OR</w:t>
      </w:r>
      <w:bookmarkEnd w:id="6"/>
      <w:r w:rsidRPr="00F63DC9">
        <w:rPr>
          <w:rFonts w:asciiTheme="minorHAnsi" w:hAnsiTheme="minorHAnsi" w:cstheme="minorHAnsi"/>
        </w:rPr>
        <w:t xml:space="preserve"> See the additional attached schedules.</w:t>
      </w:r>
    </w:p>
    <w:p w14:paraId="3265733D" w14:textId="77777777" w:rsidR="00B13435" w:rsidRPr="00F63DC9" w:rsidRDefault="00B13435" w:rsidP="00B13435">
      <w:pPr>
        <w:ind w:firstLine="720"/>
        <w:jc w:val="both"/>
        <w:rPr>
          <w:rFonts w:asciiTheme="minorHAnsi" w:hAnsiTheme="minorHAnsi" w:cstheme="minorHAnsi"/>
        </w:rPr>
      </w:pPr>
    </w:p>
    <w:p w14:paraId="49CF097D" w14:textId="723EE9EF" w:rsidR="00C433DB" w:rsidRPr="00F63DC9" w:rsidRDefault="00C433DB" w:rsidP="00BF2CED">
      <w:pPr>
        <w:keepNext/>
        <w:jc w:val="center"/>
        <w:rPr>
          <w:rFonts w:asciiTheme="minorHAnsi" w:hAnsiTheme="minorHAnsi" w:cstheme="minorHAnsi"/>
          <w:b/>
          <w:color w:val="FF0000"/>
        </w:rPr>
      </w:pPr>
    </w:p>
    <w:sectPr w:rsidR="00C433DB" w:rsidRPr="00F63DC9" w:rsidSect="00587CA4">
      <w:headerReference w:type="default" r:id="rId11"/>
      <w:pgSz w:w="12240" w:h="15840"/>
      <w:pgMar w:top="864" w:right="1224" w:bottom="100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59B2" w14:textId="77777777" w:rsidR="005A004A" w:rsidRDefault="005A004A" w:rsidP="005A004A">
      <w:r>
        <w:separator/>
      </w:r>
    </w:p>
  </w:endnote>
  <w:endnote w:type="continuationSeparator" w:id="0">
    <w:p w14:paraId="76A7A72C" w14:textId="77777777" w:rsidR="005A004A" w:rsidRDefault="005A004A" w:rsidP="005A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40C4" w14:textId="77777777" w:rsidR="005A004A" w:rsidRDefault="005A004A" w:rsidP="005A004A">
      <w:r>
        <w:separator/>
      </w:r>
    </w:p>
  </w:footnote>
  <w:footnote w:type="continuationSeparator" w:id="0">
    <w:p w14:paraId="6D8F4A03" w14:textId="77777777" w:rsidR="005A004A" w:rsidRDefault="005A004A" w:rsidP="005A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9222" w14:textId="77777777" w:rsidR="005A004A" w:rsidRPr="00F07598" w:rsidRDefault="005A004A" w:rsidP="005A004A">
    <w:pPr>
      <w:tabs>
        <w:tab w:val="left" w:pos="720"/>
        <w:tab w:val="right" w:pos="9792"/>
      </w:tabs>
      <w:rPr>
        <w:rFonts w:asciiTheme="minorHAnsi" w:hAnsiTheme="minorHAnsi" w:cstheme="minorHAnsi"/>
        <w:b/>
      </w:rPr>
    </w:pPr>
    <w:r w:rsidRPr="00F031AC">
      <w:rPr>
        <w:rFonts w:asciiTheme="minorHAnsi" w:hAnsiTheme="minorHAnsi" w:cstheme="minorHAnsi"/>
        <w:b/>
      </w:rPr>
      <w:t>Filer:</w:t>
    </w:r>
    <w:r w:rsidRPr="00F07598">
      <w:rPr>
        <w:rFonts w:asciiTheme="minorHAnsi" w:hAnsiTheme="minorHAnsi" w:cstheme="minorHAnsi"/>
        <w:b/>
      </w:rPr>
      <w:tab/>
    </w:r>
    <w:r w:rsidRPr="00F07598">
      <w:rPr>
        <w:rFonts w:asciiTheme="minorHAnsi" w:hAnsiTheme="minorHAnsi" w:cstheme="minorHAnsi"/>
        <w:b/>
        <w:highlight w:val="yellow"/>
      </w:rPr>
      <w:t>ENTITY NAME</w:t>
    </w:r>
    <w:r w:rsidRPr="00F07598">
      <w:rPr>
        <w:rFonts w:asciiTheme="minorHAnsi" w:hAnsiTheme="minorHAnsi" w:cstheme="minorHAnsi"/>
        <w:b/>
      </w:rPr>
      <w:tab/>
      <w:t xml:space="preserve">Page </w:t>
    </w:r>
    <w:r w:rsidRPr="00F07598">
      <w:rPr>
        <w:rFonts w:asciiTheme="minorHAnsi" w:hAnsiTheme="minorHAnsi" w:cstheme="minorHAnsi"/>
        <w:b/>
      </w:rPr>
      <w:fldChar w:fldCharType="begin"/>
    </w:r>
    <w:r w:rsidRPr="00F07598">
      <w:rPr>
        <w:rFonts w:asciiTheme="minorHAnsi" w:hAnsiTheme="minorHAnsi" w:cstheme="minorHAnsi"/>
        <w:b/>
      </w:rPr>
      <w:instrText xml:space="preserve"> PAGE   \* MERGEFORMAT </w:instrText>
    </w:r>
    <w:r w:rsidRPr="00F07598">
      <w:rPr>
        <w:rFonts w:asciiTheme="minorHAnsi" w:hAnsiTheme="minorHAnsi" w:cstheme="minorHAnsi"/>
        <w:b/>
      </w:rPr>
      <w:fldChar w:fldCharType="separate"/>
    </w:r>
    <w:r>
      <w:rPr>
        <w:rFonts w:cstheme="minorHAnsi"/>
        <w:b/>
      </w:rPr>
      <w:t>1</w:t>
    </w:r>
    <w:r w:rsidRPr="00F07598">
      <w:rPr>
        <w:rFonts w:asciiTheme="minorHAnsi" w:hAnsiTheme="minorHAnsi" w:cstheme="minorHAnsi"/>
        <w:b/>
        <w:noProof/>
      </w:rPr>
      <w:fldChar w:fldCharType="end"/>
    </w:r>
  </w:p>
  <w:p w14:paraId="47CE1824" w14:textId="77777777" w:rsidR="005A004A" w:rsidRPr="00F07598" w:rsidRDefault="005A004A" w:rsidP="005A004A">
    <w:pPr>
      <w:tabs>
        <w:tab w:val="left" w:pos="720"/>
        <w:tab w:val="right" w:pos="9792"/>
      </w:tabs>
      <w:rPr>
        <w:rFonts w:asciiTheme="minorHAnsi" w:hAnsiTheme="minorHAnsi" w:cstheme="minorHAnsi"/>
        <w:b/>
      </w:rPr>
    </w:pPr>
    <w:r w:rsidRPr="00F07598">
      <w:rPr>
        <w:rFonts w:asciiTheme="minorHAnsi" w:hAnsiTheme="minorHAnsi" w:cstheme="minorHAnsi"/>
        <w:b/>
      </w:rPr>
      <w:t>EIN:</w:t>
    </w:r>
    <w:r w:rsidRPr="00F07598">
      <w:rPr>
        <w:rFonts w:asciiTheme="minorHAnsi" w:hAnsiTheme="minorHAnsi" w:cstheme="minorHAnsi"/>
        <w:b/>
      </w:rPr>
      <w:tab/>
    </w:r>
    <w:r w:rsidRPr="00F07598">
      <w:rPr>
        <w:rFonts w:asciiTheme="minorHAnsi" w:hAnsiTheme="minorHAnsi" w:cstheme="minorHAnsi"/>
        <w:b/>
        <w:highlight w:val="yellow"/>
      </w:rPr>
      <w:t>XX-XXXXXXX</w:t>
    </w:r>
  </w:p>
  <w:p w14:paraId="4880E53C" w14:textId="296F164A" w:rsidR="005A004A" w:rsidRDefault="005A004A" w:rsidP="005A004A">
    <w:pPr>
      <w:tabs>
        <w:tab w:val="left" w:pos="720"/>
        <w:tab w:val="right" w:pos="9792"/>
      </w:tabs>
      <w:jc w:val="both"/>
      <w:rPr>
        <w:rFonts w:asciiTheme="minorHAnsi" w:hAnsiTheme="minorHAnsi" w:cstheme="minorHAnsi"/>
        <w:b/>
      </w:rPr>
    </w:pPr>
    <w:r w:rsidRPr="00F07598">
      <w:rPr>
        <w:rFonts w:asciiTheme="minorHAnsi" w:hAnsiTheme="minorHAnsi" w:cstheme="minorHAnsi"/>
        <w:b/>
      </w:rPr>
      <w:t>Attachment to Form 3115, Application for Change in Accounting Method</w:t>
    </w:r>
  </w:p>
  <w:p w14:paraId="25B6CC55" w14:textId="4E855029" w:rsidR="001844B2" w:rsidRPr="00F07598" w:rsidRDefault="001844B2" w:rsidP="005A004A">
    <w:pPr>
      <w:tabs>
        <w:tab w:val="left" w:pos="720"/>
        <w:tab w:val="right" w:pos="9792"/>
      </w:tabs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DCN: #184</w:t>
    </w:r>
  </w:p>
  <w:p w14:paraId="13E70591" w14:textId="28BB0E74" w:rsidR="005A004A" w:rsidRPr="00F07598" w:rsidRDefault="005A004A" w:rsidP="005A004A">
    <w:pPr>
      <w:tabs>
        <w:tab w:val="left" w:pos="720"/>
        <w:tab w:val="right" w:pos="9792"/>
      </w:tabs>
      <w:jc w:val="both"/>
      <w:rPr>
        <w:rFonts w:asciiTheme="minorHAnsi" w:hAnsiTheme="minorHAnsi" w:cstheme="minorHAnsi"/>
        <w:b/>
      </w:rPr>
    </w:pPr>
    <w:r w:rsidRPr="00F07598">
      <w:rPr>
        <w:rFonts w:asciiTheme="minorHAnsi" w:hAnsiTheme="minorHAnsi" w:cstheme="minorHAnsi"/>
        <w:b/>
      </w:rPr>
      <w:t xml:space="preserve">Tax Year Ended </w:t>
    </w:r>
    <w:r w:rsidRPr="00F07598">
      <w:rPr>
        <w:rFonts w:asciiTheme="minorHAnsi" w:hAnsiTheme="minorHAnsi" w:cstheme="minorHAnsi"/>
        <w:b/>
        <w:highlight w:val="magenta"/>
      </w:rPr>
      <w:t>December 31, 20</w:t>
    </w:r>
    <w:r w:rsidR="001844B2">
      <w:rPr>
        <w:rFonts w:asciiTheme="minorHAnsi" w:hAnsiTheme="minorHAnsi" w:cstheme="minorHAnsi"/>
        <w:b/>
        <w:highlight w:val="magenta"/>
      </w:rPr>
      <w:t>20</w:t>
    </w:r>
  </w:p>
  <w:p w14:paraId="3360E87D" w14:textId="3DF6064B" w:rsidR="005A004A" w:rsidRDefault="005A004A">
    <w:pPr>
      <w:pStyle w:val="Header"/>
    </w:pPr>
  </w:p>
  <w:p w14:paraId="225C2FCF" w14:textId="77777777" w:rsidR="005A004A" w:rsidRDefault="005A0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698"/>
    <w:multiLevelType w:val="hybridMultilevel"/>
    <w:tmpl w:val="27182BD6"/>
    <w:lvl w:ilvl="0" w:tplc="90381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539D"/>
    <w:multiLevelType w:val="hybridMultilevel"/>
    <w:tmpl w:val="5378B3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336C0"/>
    <w:multiLevelType w:val="hybridMultilevel"/>
    <w:tmpl w:val="64D49D88"/>
    <w:lvl w:ilvl="0" w:tplc="040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203"/>
    <w:multiLevelType w:val="hybridMultilevel"/>
    <w:tmpl w:val="61EC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5768"/>
    <w:multiLevelType w:val="hybridMultilevel"/>
    <w:tmpl w:val="10CA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6E5D"/>
    <w:multiLevelType w:val="hybridMultilevel"/>
    <w:tmpl w:val="3864B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6773"/>
    <w:multiLevelType w:val="hybridMultilevel"/>
    <w:tmpl w:val="9DB82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C8"/>
    <w:rsid w:val="0000248B"/>
    <w:rsid w:val="00030BC5"/>
    <w:rsid w:val="00057F50"/>
    <w:rsid w:val="000D69BF"/>
    <w:rsid w:val="00102ADD"/>
    <w:rsid w:val="0010657F"/>
    <w:rsid w:val="00111CC1"/>
    <w:rsid w:val="001130DF"/>
    <w:rsid w:val="00116885"/>
    <w:rsid w:val="00124678"/>
    <w:rsid w:val="00147A5B"/>
    <w:rsid w:val="00172B71"/>
    <w:rsid w:val="00173ADE"/>
    <w:rsid w:val="001844B2"/>
    <w:rsid w:val="00185A84"/>
    <w:rsid w:val="001B13B0"/>
    <w:rsid w:val="001C4FBA"/>
    <w:rsid w:val="001F690E"/>
    <w:rsid w:val="001F75C4"/>
    <w:rsid w:val="00240CC2"/>
    <w:rsid w:val="00241E47"/>
    <w:rsid w:val="002738E5"/>
    <w:rsid w:val="0029322D"/>
    <w:rsid w:val="002A23A6"/>
    <w:rsid w:val="002C3AA4"/>
    <w:rsid w:val="002D3B2E"/>
    <w:rsid w:val="002E0169"/>
    <w:rsid w:val="002F10AA"/>
    <w:rsid w:val="00315EC8"/>
    <w:rsid w:val="00316B43"/>
    <w:rsid w:val="00320C90"/>
    <w:rsid w:val="00322E65"/>
    <w:rsid w:val="0032584B"/>
    <w:rsid w:val="0034036A"/>
    <w:rsid w:val="00342543"/>
    <w:rsid w:val="00343600"/>
    <w:rsid w:val="0034365B"/>
    <w:rsid w:val="003946AD"/>
    <w:rsid w:val="003A1878"/>
    <w:rsid w:val="003B6CFD"/>
    <w:rsid w:val="003F7D3A"/>
    <w:rsid w:val="00434FD5"/>
    <w:rsid w:val="004413F2"/>
    <w:rsid w:val="00455A9F"/>
    <w:rsid w:val="00460A04"/>
    <w:rsid w:val="00463153"/>
    <w:rsid w:val="00463809"/>
    <w:rsid w:val="00493247"/>
    <w:rsid w:val="00494B06"/>
    <w:rsid w:val="004A093F"/>
    <w:rsid w:val="004C1E5B"/>
    <w:rsid w:val="004D54CA"/>
    <w:rsid w:val="004E3196"/>
    <w:rsid w:val="005036D6"/>
    <w:rsid w:val="00505FF7"/>
    <w:rsid w:val="00522C56"/>
    <w:rsid w:val="00527E7D"/>
    <w:rsid w:val="00530A15"/>
    <w:rsid w:val="00532B55"/>
    <w:rsid w:val="0055161D"/>
    <w:rsid w:val="00565BAE"/>
    <w:rsid w:val="00570901"/>
    <w:rsid w:val="00587CA4"/>
    <w:rsid w:val="00595B6A"/>
    <w:rsid w:val="005A004A"/>
    <w:rsid w:val="005C034C"/>
    <w:rsid w:val="005D0358"/>
    <w:rsid w:val="005D0CF6"/>
    <w:rsid w:val="005F0EBA"/>
    <w:rsid w:val="00615029"/>
    <w:rsid w:val="0064661B"/>
    <w:rsid w:val="00651993"/>
    <w:rsid w:val="00657FBA"/>
    <w:rsid w:val="00674ACD"/>
    <w:rsid w:val="006815ED"/>
    <w:rsid w:val="00686409"/>
    <w:rsid w:val="00686AC1"/>
    <w:rsid w:val="006B6B2B"/>
    <w:rsid w:val="006C3CF2"/>
    <w:rsid w:val="007135E5"/>
    <w:rsid w:val="00717991"/>
    <w:rsid w:val="007473D0"/>
    <w:rsid w:val="00747978"/>
    <w:rsid w:val="00765D2A"/>
    <w:rsid w:val="00771C4F"/>
    <w:rsid w:val="007C2EAA"/>
    <w:rsid w:val="007D1BDC"/>
    <w:rsid w:val="007D7718"/>
    <w:rsid w:val="008139EE"/>
    <w:rsid w:val="00815FBC"/>
    <w:rsid w:val="00822790"/>
    <w:rsid w:val="00822A44"/>
    <w:rsid w:val="00855B77"/>
    <w:rsid w:val="00856036"/>
    <w:rsid w:val="00861645"/>
    <w:rsid w:val="00863632"/>
    <w:rsid w:val="008639FF"/>
    <w:rsid w:val="00871F08"/>
    <w:rsid w:val="00873732"/>
    <w:rsid w:val="0088420D"/>
    <w:rsid w:val="008A5639"/>
    <w:rsid w:val="008A7496"/>
    <w:rsid w:val="008C0220"/>
    <w:rsid w:val="008C736D"/>
    <w:rsid w:val="008D2C3C"/>
    <w:rsid w:val="008D7A73"/>
    <w:rsid w:val="008E2678"/>
    <w:rsid w:val="00924A8B"/>
    <w:rsid w:val="00926A32"/>
    <w:rsid w:val="00936D0A"/>
    <w:rsid w:val="00943806"/>
    <w:rsid w:val="0095137F"/>
    <w:rsid w:val="009548CE"/>
    <w:rsid w:val="00955464"/>
    <w:rsid w:val="00960E13"/>
    <w:rsid w:val="00963293"/>
    <w:rsid w:val="0096789A"/>
    <w:rsid w:val="00983455"/>
    <w:rsid w:val="00996053"/>
    <w:rsid w:val="00996A86"/>
    <w:rsid w:val="009B0ACF"/>
    <w:rsid w:val="009C0C89"/>
    <w:rsid w:val="009C5DD6"/>
    <w:rsid w:val="009E7012"/>
    <w:rsid w:val="00A12D50"/>
    <w:rsid w:val="00A22426"/>
    <w:rsid w:val="00A225A9"/>
    <w:rsid w:val="00A31758"/>
    <w:rsid w:val="00A560E5"/>
    <w:rsid w:val="00A60842"/>
    <w:rsid w:val="00A67BCB"/>
    <w:rsid w:val="00A70614"/>
    <w:rsid w:val="00A711A2"/>
    <w:rsid w:val="00A75578"/>
    <w:rsid w:val="00AA6DD3"/>
    <w:rsid w:val="00AB0238"/>
    <w:rsid w:val="00AC438D"/>
    <w:rsid w:val="00AC7286"/>
    <w:rsid w:val="00AD5B1C"/>
    <w:rsid w:val="00B02344"/>
    <w:rsid w:val="00B06918"/>
    <w:rsid w:val="00B06D1E"/>
    <w:rsid w:val="00B12B32"/>
    <w:rsid w:val="00B13435"/>
    <w:rsid w:val="00B25242"/>
    <w:rsid w:val="00B379EA"/>
    <w:rsid w:val="00B46714"/>
    <w:rsid w:val="00B61CE3"/>
    <w:rsid w:val="00B80556"/>
    <w:rsid w:val="00B83F9C"/>
    <w:rsid w:val="00B93933"/>
    <w:rsid w:val="00BB11C1"/>
    <w:rsid w:val="00BC6D69"/>
    <w:rsid w:val="00BD157B"/>
    <w:rsid w:val="00BF2CED"/>
    <w:rsid w:val="00BF640A"/>
    <w:rsid w:val="00C049D1"/>
    <w:rsid w:val="00C10D5F"/>
    <w:rsid w:val="00C116DD"/>
    <w:rsid w:val="00C271BC"/>
    <w:rsid w:val="00C433DB"/>
    <w:rsid w:val="00C512B9"/>
    <w:rsid w:val="00C60BB5"/>
    <w:rsid w:val="00C7075B"/>
    <w:rsid w:val="00C80E9D"/>
    <w:rsid w:val="00CB1F70"/>
    <w:rsid w:val="00CB49C6"/>
    <w:rsid w:val="00CC42B7"/>
    <w:rsid w:val="00CC5C90"/>
    <w:rsid w:val="00CD2935"/>
    <w:rsid w:val="00CD464A"/>
    <w:rsid w:val="00CE303B"/>
    <w:rsid w:val="00CE4AE1"/>
    <w:rsid w:val="00CF39DA"/>
    <w:rsid w:val="00CF4D72"/>
    <w:rsid w:val="00D2479E"/>
    <w:rsid w:val="00D51956"/>
    <w:rsid w:val="00D73BF0"/>
    <w:rsid w:val="00D805BD"/>
    <w:rsid w:val="00DB2330"/>
    <w:rsid w:val="00DB33BE"/>
    <w:rsid w:val="00DB598E"/>
    <w:rsid w:val="00DD0919"/>
    <w:rsid w:val="00DD3B64"/>
    <w:rsid w:val="00E075FD"/>
    <w:rsid w:val="00E110F0"/>
    <w:rsid w:val="00E11D7F"/>
    <w:rsid w:val="00E44262"/>
    <w:rsid w:val="00E44996"/>
    <w:rsid w:val="00E53346"/>
    <w:rsid w:val="00E817E2"/>
    <w:rsid w:val="00E8480A"/>
    <w:rsid w:val="00E87D7F"/>
    <w:rsid w:val="00E91FE5"/>
    <w:rsid w:val="00E940BB"/>
    <w:rsid w:val="00EA0DDF"/>
    <w:rsid w:val="00EA356C"/>
    <w:rsid w:val="00EB7FDF"/>
    <w:rsid w:val="00EC641A"/>
    <w:rsid w:val="00EE1E79"/>
    <w:rsid w:val="00EE662E"/>
    <w:rsid w:val="00EF5B66"/>
    <w:rsid w:val="00F01D3C"/>
    <w:rsid w:val="00F2561A"/>
    <w:rsid w:val="00F44CD1"/>
    <w:rsid w:val="00F517BF"/>
    <w:rsid w:val="00F63DC9"/>
    <w:rsid w:val="00F77A8E"/>
    <w:rsid w:val="00FC0A4E"/>
    <w:rsid w:val="00FF083F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9EF8"/>
  <w15:docId w15:val="{D01BAFD5-CA5D-40C3-8860-2236CC5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1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BD1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HeadNoteHeadLevel-1">
    <w:name w:val="HED/Head Note Head Level-1"/>
    <w:basedOn w:val="Normal"/>
    <w:rsid w:val="00315EC8"/>
    <w:pPr>
      <w:keepNext/>
      <w:keepLines/>
      <w:suppressAutoHyphens/>
      <w:spacing w:after="240"/>
      <w:ind w:left="400" w:hanging="40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CA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157B"/>
    <w:rPr>
      <w:rFonts w:ascii="Arial" w:eastAsia="Times New Roman" w:hAnsi="Arial" w:cs="Arial"/>
      <w:b/>
      <w:bCs/>
      <w:kern w:val="32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D15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t">
    <w:name w:val="st"/>
    <w:basedOn w:val="DefaultParagraphFont"/>
    <w:rsid w:val="00CB49C6"/>
  </w:style>
  <w:style w:type="paragraph" w:styleId="NoSpacing">
    <w:name w:val="No Spacing"/>
    <w:uiPriority w:val="1"/>
    <w:qFormat/>
    <w:rsid w:val="00463153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505FF7"/>
    <w:pPr>
      <w:spacing w:before="130" w:after="13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505FF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EA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0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0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C80B9E044FE438B760769BD030A64" ma:contentTypeVersion="0" ma:contentTypeDescription="Create a new document." ma:contentTypeScope="" ma:versionID="b7a4275014a7f58db5d76dc7acaa75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896c167e6f6e840b5becaceb38e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EAA8-A91F-4F3D-8FD8-122E3BB8FED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156297-6B6C-49FD-868D-0C0E39684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42C28-38F0-431F-9D1F-22A43F75C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FC9CB3-B96C-41BB-9918-CB65FBC6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Jostens Inc.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DeSanctis, Joseph</dc:creator>
  <cp:lastModifiedBy>Sasha Brenecki</cp:lastModifiedBy>
  <cp:revision>9</cp:revision>
  <cp:lastPrinted>2015-07-10T19:57:00Z</cp:lastPrinted>
  <dcterms:created xsi:type="dcterms:W3CDTF">2018-10-09T13:44:00Z</dcterms:created>
  <dcterms:modified xsi:type="dcterms:W3CDTF">2021-03-19T19:11:00Z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0x0101009D5C80B9E044FE438B760769BD030A64</vt:lpwstr>
  </property>
</Properties>
</file>