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07" w:rsidRPr="005F480C" w:rsidRDefault="000D1807" w:rsidP="000D1807">
      <w:pPr>
        <w:jc w:val="center"/>
        <w:rPr>
          <w:rFonts w:ascii="Century Gothic" w:hAnsi="Century Gothic"/>
          <w:b/>
          <w:sz w:val="32"/>
          <w:szCs w:val="32"/>
        </w:rPr>
      </w:pPr>
      <w:r w:rsidRPr="005F480C">
        <w:rPr>
          <w:rFonts w:ascii="Century Gothic" w:hAnsi="Century Gothic"/>
          <w:b/>
          <w:sz w:val="32"/>
          <w:szCs w:val="32"/>
        </w:rPr>
        <w:t>Education &amp; Technology Committee Charter</w:t>
      </w:r>
    </w:p>
    <w:p w:rsidR="000D1807" w:rsidRPr="005F480C" w:rsidRDefault="000D1807" w:rsidP="000D1807">
      <w:pPr>
        <w:jc w:val="center"/>
        <w:rPr>
          <w:rFonts w:ascii="Century Gothic" w:hAnsi="Century Gothic"/>
          <w:b/>
          <w:sz w:val="32"/>
          <w:szCs w:val="32"/>
        </w:rPr>
      </w:pPr>
      <w:r w:rsidRPr="005F480C">
        <w:rPr>
          <w:rFonts w:ascii="Century Gothic" w:hAnsi="Century Gothic"/>
          <w:b/>
          <w:bCs/>
          <w:color w:val="000000"/>
          <w:sz w:val="32"/>
          <w:szCs w:val="32"/>
        </w:rPr>
        <w:t>Fiscal Year 2017</w:t>
      </w:r>
    </w:p>
    <w:p w:rsidR="000D1807" w:rsidRPr="005F480C" w:rsidRDefault="000D1807" w:rsidP="000D1807">
      <w:pPr>
        <w:rPr>
          <w:rFonts w:ascii="Times New Roman" w:hAnsi="Times New Roman"/>
          <w:szCs w:val="24"/>
        </w:rPr>
      </w:pPr>
    </w:p>
    <w:p w:rsidR="000D1807" w:rsidRPr="005F480C" w:rsidRDefault="000D1807" w:rsidP="000D1807">
      <w:pPr>
        <w:jc w:val="both"/>
        <w:rPr>
          <w:rFonts w:ascii="Century Gothic" w:hAnsi="Century Gothic"/>
        </w:rPr>
      </w:pPr>
      <w:r w:rsidRPr="005F480C">
        <w:rPr>
          <w:rFonts w:ascii="Century Gothic" w:hAnsi="Century Gothic"/>
          <w:color w:val="000000"/>
        </w:rPr>
        <w:t xml:space="preserve">The Education &amp; Technology Committee is responsible for monitoring the educational quality of DSST Public Schools. </w:t>
      </w:r>
    </w:p>
    <w:p w:rsidR="000D1807" w:rsidRPr="005F480C" w:rsidRDefault="000D1807" w:rsidP="000D1807">
      <w:pPr>
        <w:jc w:val="both"/>
        <w:rPr>
          <w:rFonts w:ascii="Century Gothic" w:hAnsi="Century Gothic"/>
        </w:rPr>
      </w:pPr>
      <w:r w:rsidRPr="005F480C">
        <w:rPr>
          <w:rFonts w:ascii="Century Gothic" w:hAnsi="Century Gothic"/>
          <w:color w:val="000000"/>
        </w:rPr>
        <w:t>The Committee will review significant network-wide academic policies and strategic direction. The Committee will work with the Home Office to provide the Board of Directors with updates that enable the Board to compare the performance of DSST students with local, national and global metrics; track the outcomes of DSST graduates; and act as a thought leader on trends in education.  The Committee will also focus on understanding and keeping the Board informed on DSST’s use of educational technology and data analytics.  </w:t>
      </w:r>
    </w:p>
    <w:p w:rsidR="000D1807" w:rsidRPr="005F480C" w:rsidRDefault="000D1807" w:rsidP="000D1807">
      <w:pPr>
        <w:jc w:val="both"/>
        <w:rPr>
          <w:rFonts w:ascii="Century Gothic" w:hAnsi="Century Gothic"/>
        </w:rPr>
      </w:pPr>
      <w:r w:rsidRPr="005F480C">
        <w:rPr>
          <w:rFonts w:ascii="Century Gothic" w:hAnsi="Century Gothic"/>
          <w:color w:val="000000"/>
        </w:rPr>
        <w:t>At the school level, the Committee will coordinate with the School Accountability Committees to monitor the performance of student learning at individual campuses.  </w:t>
      </w:r>
    </w:p>
    <w:p w:rsidR="000D1807" w:rsidRPr="005F480C" w:rsidRDefault="000D1807" w:rsidP="000D1807">
      <w:pPr>
        <w:jc w:val="both"/>
        <w:rPr>
          <w:rFonts w:ascii="Century Gothic" w:hAnsi="Century Gothic"/>
        </w:rPr>
      </w:pPr>
      <w:r w:rsidRPr="005F480C">
        <w:rPr>
          <w:rFonts w:ascii="Century Gothic" w:hAnsi="Century Gothic"/>
          <w:color w:val="000000"/>
        </w:rPr>
        <w:t xml:space="preserve">The Chief of Schools and the Director of Education Technology will serve as the staff liaisons and will participate in meetings of the Committee. </w:t>
      </w:r>
    </w:p>
    <w:p w:rsidR="000D1807" w:rsidRPr="005F480C" w:rsidRDefault="000D1807" w:rsidP="000D1807">
      <w:pPr>
        <w:jc w:val="both"/>
        <w:rPr>
          <w:rFonts w:ascii="Century Gothic" w:hAnsi="Century Gothic"/>
        </w:rPr>
      </w:pPr>
      <w:r w:rsidRPr="005F480C">
        <w:rPr>
          <w:rFonts w:ascii="Century Gothic" w:hAnsi="Century Gothic"/>
          <w:color w:val="000000"/>
        </w:rPr>
        <w:t>The Committee will at all times be mindful that its role is oversight, not micro-management.</w:t>
      </w:r>
    </w:p>
    <w:p w:rsidR="000D1807" w:rsidRPr="005F480C" w:rsidRDefault="000D1807" w:rsidP="000D1807">
      <w:pPr>
        <w:jc w:val="both"/>
        <w:rPr>
          <w:rFonts w:ascii="Century Gothic" w:hAnsi="Century Gothic"/>
        </w:rPr>
      </w:pPr>
      <w:r w:rsidRPr="005F480C">
        <w:rPr>
          <w:rFonts w:ascii="Century Gothic" w:hAnsi="Century Gothic"/>
          <w:b/>
          <w:bCs/>
          <w:color w:val="000000"/>
        </w:rPr>
        <w:t>General Long Term Goals</w:t>
      </w:r>
    </w:p>
    <w:p w:rsidR="000D1807" w:rsidRPr="005F480C" w:rsidRDefault="000D1807" w:rsidP="000D1807">
      <w:pPr>
        <w:jc w:val="both"/>
        <w:rPr>
          <w:rFonts w:ascii="Century Gothic" w:hAnsi="Century Gothic"/>
        </w:rPr>
      </w:pPr>
      <w:r w:rsidRPr="005F480C">
        <w:rPr>
          <w:rFonts w:ascii="Century Gothic" w:hAnsi="Century Gothic"/>
          <w:color w:val="000000"/>
        </w:rPr>
        <w:t>Working with the Home Office, the Education Committee seeks to understand:</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How DSST students perform compared to their peers in US and global education.</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The efficacy of the DSST model in addressing various “achievement gaps,” including socioeconomic, gender, and racial/ethnic performance gaps among DSST students.</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How DSST students transition to college and perform and persist once there.</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How technology enables continuous academic growth and productivity improvement.</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How data and analytics might accelerate learning at DSST schools.</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The economic impact and value proposition of a DSST education, including educating the public on DSST educational accomplishments and societal return on investment.</w:t>
      </w:r>
    </w:p>
    <w:p w:rsidR="000D1807" w:rsidRPr="005F480C" w:rsidRDefault="000D1807" w:rsidP="000D1807">
      <w:pPr>
        <w:numPr>
          <w:ilvl w:val="0"/>
          <w:numId w:val="1"/>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The implications of a grade 6-12 academic model, particularly in light of:</w:t>
      </w:r>
    </w:p>
    <w:p w:rsidR="000D1807" w:rsidRPr="005F480C" w:rsidRDefault="000D1807" w:rsidP="000D1807">
      <w:pPr>
        <w:numPr>
          <w:ilvl w:val="1"/>
          <w:numId w:val="2"/>
        </w:numPr>
        <w:spacing w:after="0" w:line="240" w:lineRule="auto"/>
        <w:jc w:val="both"/>
        <w:textAlignment w:val="baseline"/>
        <w:rPr>
          <w:rFonts w:ascii="Century Gothic" w:hAnsi="Century Gothic"/>
          <w:color w:val="000000"/>
        </w:rPr>
      </w:pPr>
      <w:r w:rsidRPr="005F480C">
        <w:rPr>
          <w:rFonts w:ascii="Century Gothic" w:hAnsi="Century Gothic"/>
          <w:color w:val="000000"/>
        </w:rPr>
        <w:t>the increasing costs of higher education;</w:t>
      </w:r>
    </w:p>
    <w:p w:rsidR="000D1807" w:rsidRPr="005F480C" w:rsidRDefault="000D1807" w:rsidP="000D1807">
      <w:pPr>
        <w:numPr>
          <w:ilvl w:val="1"/>
          <w:numId w:val="2"/>
        </w:numPr>
        <w:spacing w:after="0" w:line="240" w:lineRule="auto"/>
        <w:jc w:val="both"/>
        <w:textAlignment w:val="baseline"/>
        <w:rPr>
          <w:rFonts w:ascii="Century Gothic" w:hAnsi="Century Gothic"/>
          <w:color w:val="000000"/>
        </w:rPr>
      </w:pPr>
      <w:r w:rsidRPr="005F480C">
        <w:rPr>
          <w:rFonts w:ascii="Century Gothic" w:hAnsi="Century Gothic"/>
          <w:color w:val="000000"/>
        </w:rPr>
        <w:t>the  improvement in student proficiency at earlier grade levels;</w:t>
      </w:r>
    </w:p>
    <w:p w:rsidR="000D1807" w:rsidRPr="005F480C" w:rsidRDefault="000D1807" w:rsidP="000D1807">
      <w:pPr>
        <w:numPr>
          <w:ilvl w:val="1"/>
          <w:numId w:val="2"/>
        </w:numPr>
        <w:spacing w:after="0" w:line="240" w:lineRule="auto"/>
        <w:jc w:val="both"/>
        <w:textAlignment w:val="baseline"/>
        <w:rPr>
          <w:rFonts w:ascii="Century Gothic" w:hAnsi="Century Gothic"/>
          <w:color w:val="000000"/>
        </w:rPr>
      </w:pPr>
      <w:proofErr w:type="gramStart"/>
      <w:r w:rsidRPr="005F480C">
        <w:rPr>
          <w:rFonts w:ascii="Century Gothic" w:hAnsi="Century Gothic"/>
          <w:color w:val="000000"/>
        </w:rPr>
        <w:t>pressures</w:t>
      </w:r>
      <w:proofErr w:type="gramEnd"/>
      <w:r w:rsidRPr="005F480C">
        <w:rPr>
          <w:rFonts w:ascii="Century Gothic" w:hAnsi="Century Gothic"/>
          <w:color w:val="000000"/>
        </w:rPr>
        <w:t xml:space="preserve"> on parts of the academic model (e.g. internships and college scholarships) due to replication.</w:t>
      </w:r>
    </w:p>
    <w:p w:rsidR="000D1807" w:rsidRPr="005F480C" w:rsidRDefault="000D1807" w:rsidP="000D1807">
      <w:pPr>
        <w:numPr>
          <w:ilvl w:val="0"/>
          <w:numId w:val="2"/>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lastRenderedPageBreak/>
        <w:t>Educational trends that might impact the DSST model.</w:t>
      </w:r>
    </w:p>
    <w:p w:rsidR="000D1807" w:rsidRPr="005F480C" w:rsidRDefault="000D1807" w:rsidP="000D1807">
      <w:pPr>
        <w:numPr>
          <w:ilvl w:val="0"/>
          <w:numId w:val="2"/>
        </w:numPr>
        <w:spacing w:after="0" w:line="240" w:lineRule="auto"/>
        <w:ind w:left="390"/>
        <w:jc w:val="both"/>
        <w:textAlignment w:val="baseline"/>
        <w:rPr>
          <w:rFonts w:ascii="Century Gothic" w:hAnsi="Century Gothic"/>
          <w:color w:val="000000"/>
        </w:rPr>
      </w:pPr>
      <w:r w:rsidRPr="005F480C">
        <w:rPr>
          <w:rFonts w:ascii="Century Gothic" w:hAnsi="Century Gothic"/>
          <w:color w:val="000000"/>
        </w:rPr>
        <w:t>How to make effective use of DSST School Accountability Committees</w:t>
      </w:r>
    </w:p>
    <w:p w:rsidR="000D1807" w:rsidRDefault="000D1807" w:rsidP="000D1807">
      <w:pPr>
        <w:spacing w:after="240"/>
        <w:rPr>
          <w:rFonts w:ascii="Century Gothic" w:hAnsi="Century Gothic"/>
          <w:b/>
          <w:bCs/>
          <w:color w:val="000000"/>
        </w:rPr>
      </w:pPr>
    </w:p>
    <w:p w:rsidR="000D1807" w:rsidRPr="005F480C" w:rsidRDefault="000D1807" w:rsidP="000D1807">
      <w:pPr>
        <w:spacing w:after="240"/>
        <w:rPr>
          <w:rFonts w:ascii="Century Gothic" w:hAnsi="Century Gothic"/>
        </w:rPr>
      </w:pPr>
      <w:r w:rsidRPr="005F480C">
        <w:rPr>
          <w:rFonts w:ascii="Century Gothic" w:hAnsi="Century Gothic"/>
          <w:b/>
          <w:bCs/>
          <w:color w:val="000000"/>
        </w:rPr>
        <w:t>Education Committee Fiscal Year 2017 Objectives</w:t>
      </w:r>
    </w:p>
    <w:p w:rsidR="000D1807" w:rsidRPr="005F480C" w:rsidRDefault="000D1807" w:rsidP="000D1807">
      <w:pPr>
        <w:numPr>
          <w:ilvl w:val="0"/>
          <w:numId w:val="3"/>
        </w:numPr>
        <w:spacing w:after="0" w:line="240" w:lineRule="auto"/>
        <w:ind w:left="360"/>
        <w:jc w:val="both"/>
        <w:textAlignment w:val="baseline"/>
        <w:rPr>
          <w:rFonts w:ascii="Century Gothic" w:hAnsi="Century Gothic"/>
          <w:color w:val="000000"/>
        </w:rPr>
      </w:pPr>
      <w:r w:rsidRPr="005F480C">
        <w:rPr>
          <w:rFonts w:ascii="Century Gothic" w:hAnsi="Century Gothic"/>
          <w:color w:val="000000"/>
        </w:rPr>
        <w:t>Work with Home Office, using its tracking system for DSST graduate outcomes and college persistence, to develop and establish an annual outcomes and persistence review with the Board.</w:t>
      </w:r>
    </w:p>
    <w:p w:rsidR="000D1807" w:rsidRPr="005F480C" w:rsidRDefault="000D1807" w:rsidP="000D1807">
      <w:pPr>
        <w:numPr>
          <w:ilvl w:val="0"/>
          <w:numId w:val="3"/>
        </w:numPr>
        <w:spacing w:after="0" w:line="240" w:lineRule="auto"/>
        <w:ind w:left="360"/>
        <w:jc w:val="both"/>
        <w:textAlignment w:val="baseline"/>
        <w:rPr>
          <w:rFonts w:ascii="Century Gothic" w:hAnsi="Century Gothic"/>
          <w:color w:val="000000"/>
        </w:rPr>
      </w:pPr>
      <w:r w:rsidRPr="005F480C">
        <w:rPr>
          <w:rFonts w:ascii="Century Gothic" w:hAnsi="Century Gothic"/>
          <w:color w:val="000000"/>
        </w:rPr>
        <w:t xml:space="preserve">Work with the Home Office to gain a better understanding of achievement growth (quarterly </w:t>
      </w:r>
      <w:proofErr w:type="gramStart"/>
      <w:r w:rsidRPr="005F480C">
        <w:rPr>
          <w:rFonts w:ascii="Century Gothic" w:hAnsi="Century Gothic"/>
          <w:color w:val="000000"/>
        </w:rPr>
        <w:t>IAs,</w:t>
      </w:r>
      <w:proofErr w:type="gramEnd"/>
      <w:r w:rsidRPr="005F480C">
        <w:rPr>
          <w:rFonts w:ascii="Century Gothic" w:hAnsi="Century Gothic"/>
          <w:color w:val="000000"/>
        </w:rPr>
        <w:t xml:space="preserve"> ACTs, etc.) and gaps (socio-economic status, entry point, ethnicity, gender, etc.) within the DSST student population and to develop and establish an annual achievement growth and gap review with the Board. </w:t>
      </w:r>
    </w:p>
    <w:p w:rsidR="000D1807" w:rsidRPr="005F480C" w:rsidRDefault="000D1807" w:rsidP="000D1807">
      <w:pPr>
        <w:numPr>
          <w:ilvl w:val="0"/>
          <w:numId w:val="3"/>
        </w:numPr>
        <w:spacing w:after="0" w:line="240" w:lineRule="auto"/>
        <w:ind w:left="360"/>
        <w:jc w:val="both"/>
        <w:textAlignment w:val="baseline"/>
        <w:rPr>
          <w:rFonts w:ascii="Century Gothic" w:hAnsi="Century Gothic"/>
          <w:color w:val="000000"/>
        </w:rPr>
      </w:pPr>
      <w:r w:rsidRPr="005F480C">
        <w:rPr>
          <w:rFonts w:ascii="Century Gothic" w:hAnsi="Century Gothic"/>
          <w:color w:val="000000"/>
        </w:rPr>
        <w:t>Work with Home Office to plan and stage a community “Deep Dive” on analytics and the use of data and technology in the DSST instructional model.</w:t>
      </w:r>
    </w:p>
    <w:p w:rsidR="000D1807" w:rsidRPr="005F480C" w:rsidRDefault="000D1807" w:rsidP="000D1807">
      <w:pPr>
        <w:numPr>
          <w:ilvl w:val="0"/>
          <w:numId w:val="3"/>
        </w:numPr>
        <w:spacing w:after="0" w:line="240" w:lineRule="auto"/>
        <w:ind w:left="360"/>
        <w:jc w:val="both"/>
        <w:textAlignment w:val="baseline"/>
        <w:rPr>
          <w:rFonts w:ascii="Century Gothic" w:hAnsi="Century Gothic"/>
          <w:color w:val="000000"/>
        </w:rPr>
      </w:pPr>
      <w:r w:rsidRPr="005F480C">
        <w:rPr>
          <w:rFonts w:ascii="Century Gothic" w:hAnsi="Century Gothic"/>
          <w:color w:val="000000"/>
        </w:rPr>
        <w:t>Monitor the effectiveness of DSST School Accountability Committees in cooperation with the Nominating and Governance Committee and the Home Office.</w:t>
      </w:r>
    </w:p>
    <w:p w:rsidR="000D1807" w:rsidRPr="005F480C" w:rsidRDefault="000D1807" w:rsidP="000D1807">
      <w:pPr>
        <w:rPr>
          <w:rFonts w:ascii="Century Gothic" w:hAnsi="Century Gothic"/>
        </w:rPr>
      </w:pPr>
    </w:p>
    <w:p w:rsidR="000D1807" w:rsidRPr="005F480C" w:rsidRDefault="000D1807" w:rsidP="000D1807">
      <w:pPr>
        <w:jc w:val="both"/>
        <w:rPr>
          <w:rFonts w:ascii="Century Gothic" w:hAnsi="Century Gothic"/>
        </w:rPr>
      </w:pPr>
      <w:r w:rsidRPr="005F480C">
        <w:rPr>
          <w:rFonts w:ascii="Century Gothic" w:hAnsi="Century Gothic"/>
          <w:b/>
          <w:bCs/>
          <w:color w:val="000000"/>
        </w:rPr>
        <w:t>Meeting Schedule and Topics</w:t>
      </w:r>
    </w:p>
    <w:tbl>
      <w:tblPr>
        <w:tblW w:w="0" w:type="auto"/>
        <w:tblCellMar>
          <w:top w:w="15" w:type="dxa"/>
          <w:left w:w="15" w:type="dxa"/>
          <w:bottom w:w="15" w:type="dxa"/>
          <w:right w:w="15" w:type="dxa"/>
        </w:tblCellMar>
        <w:tblLook w:val="04A0" w:firstRow="1" w:lastRow="0" w:firstColumn="1" w:lastColumn="0" w:noHBand="0" w:noVBand="1"/>
      </w:tblPr>
      <w:tblGrid>
        <w:gridCol w:w="1643"/>
        <w:gridCol w:w="7957"/>
      </w:tblGrid>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October 4, 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Committee charter discussion and approval; Review of 2015-2016 CMAS results; Technology priorities and update for 2016-2017</w:t>
            </w:r>
          </w:p>
        </w:tc>
      </w:tr>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November 1, 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rPr>
                <w:rFonts w:ascii="Century Gothic" w:hAnsi="Century Gothic"/>
              </w:rPr>
            </w:pPr>
            <w:r w:rsidRPr="005F480C">
              <w:rPr>
                <w:rFonts w:ascii="Century Gothic" w:hAnsi="Century Gothic"/>
                <w:color w:val="000000"/>
              </w:rPr>
              <w:t xml:space="preserve">Education priorities and update for 2016-2017;  Update on new school report cards;  Review School Accountability Committee program; Discuss </w:t>
            </w:r>
            <w:proofErr w:type="spellStart"/>
            <w:r w:rsidRPr="005F480C">
              <w:rPr>
                <w:rFonts w:ascii="Century Gothic" w:hAnsi="Century Gothic"/>
                <w:color w:val="000000"/>
              </w:rPr>
              <w:t>Edtech</w:t>
            </w:r>
            <w:proofErr w:type="spellEnd"/>
            <w:r w:rsidRPr="005F480C">
              <w:rPr>
                <w:rFonts w:ascii="Century Gothic" w:hAnsi="Century Gothic"/>
                <w:color w:val="000000"/>
              </w:rPr>
              <w:t xml:space="preserve"> Deep Dive for 2016-2017</w:t>
            </w:r>
          </w:p>
        </w:tc>
      </w:tr>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January 10, 2017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 xml:space="preserve">Annual update on College Readiness and Persistence; Initial planning session regarding </w:t>
            </w:r>
            <w:proofErr w:type="spellStart"/>
            <w:r w:rsidRPr="005F480C">
              <w:rPr>
                <w:rFonts w:ascii="Century Gothic" w:hAnsi="Century Gothic"/>
                <w:color w:val="000000"/>
              </w:rPr>
              <w:t>EdTech</w:t>
            </w:r>
            <w:proofErr w:type="spellEnd"/>
            <w:r w:rsidRPr="005F480C">
              <w:rPr>
                <w:rFonts w:ascii="Century Gothic" w:hAnsi="Century Gothic"/>
                <w:color w:val="000000"/>
              </w:rPr>
              <w:t xml:space="preserve"> Deep dive</w:t>
            </w:r>
          </w:p>
        </w:tc>
      </w:tr>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March 7, 2017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 xml:space="preserve">Review achievement growth and gaps for 2016-2017; Finalize plans for </w:t>
            </w:r>
            <w:proofErr w:type="spellStart"/>
            <w:r w:rsidRPr="005F480C">
              <w:rPr>
                <w:rFonts w:ascii="Century Gothic" w:hAnsi="Century Gothic"/>
                <w:color w:val="000000"/>
              </w:rPr>
              <w:t>EdTech</w:t>
            </w:r>
            <w:proofErr w:type="spellEnd"/>
            <w:r w:rsidRPr="005F480C">
              <w:rPr>
                <w:rFonts w:ascii="Century Gothic" w:hAnsi="Century Gothic"/>
                <w:color w:val="000000"/>
              </w:rPr>
              <w:t xml:space="preserve"> Deep Dive</w:t>
            </w:r>
          </w:p>
        </w:tc>
      </w:tr>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April  2017 (TBD)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Education Technology Deep Dive</w:t>
            </w:r>
          </w:p>
        </w:tc>
      </w:tr>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May 2, 2017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Reserved for key strategic topics</w:t>
            </w:r>
          </w:p>
        </w:tc>
      </w:tr>
      <w:tr w:rsidR="000D1807" w:rsidRPr="005F480C" w:rsidTr="00CC2F3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June 6, 2017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F480C" w:rsidRPr="005F480C" w:rsidRDefault="000D1807" w:rsidP="00CC2F39">
            <w:pPr>
              <w:spacing w:line="0" w:lineRule="atLeast"/>
              <w:jc w:val="both"/>
              <w:rPr>
                <w:rFonts w:ascii="Century Gothic" w:hAnsi="Century Gothic"/>
              </w:rPr>
            </w:pPr>
            <w:r w:rsidRPr="005F480C">
              <w:rPr>
                <w:rFonts w:ascii="Century Gothic" w:hAnsi="Century Gothic"/>
                <w:color w:val="000000"/>
              </w:rPr>
              <w:t>Assessment of committee’s 2016-17 performance; Set 2017-2018 committee  priorities</w:t>
            </w:r>
          </w:p>
        </w:tc>
      </w:tr>
    </w:tbl>
    <w:p w:rsidR="000D1807" w:rsidRPr="005F480C" w:rsidRDefault="000D1807" w:rsidP="000D1807">
      <w:pPr>
        <w:rPr>
          <w:rFonts w:ascii="Century Gothic" w:hAnsi="Century Gothic"/>
        </w:rPr>
      </w:pPr>
    </w:p>
    <w:p w:rsidR="000D1807" w:rsidRPr="005F480C" w:rsidRDefault="000D1807" w:rsidP="000D1807">
      <w:pPr>
        <w:jc w:val="both"/>
        <w:rPr>
          <w:rFonts w:ascii="Century Gothic" w:hAnsi="Century Gothic"/>
        </w:rPr>
      </w:pPr>
      <w:r w:rsidRPr="005F480C">
        <w:rPr>
          <w:rFonts w:ascii="Century Gothic" w:hAnsi="Century Gothic"/>
          <w:color w:val="000000"/>
        </w:rPr>
        <w:t>Meetings will be from 9:00AM to 10:30AM at the DSST Home Office, 2nd Floor Room C-3; call-in number 303-524-6302 PIN 9999#.</w:t>
      </w:r>
    </w:p>
    <w:p w:rsidR="000D1807" w:rsidRPr="005F480C" w:rsidRDefault="000D1807" w:rsidP="000D1807">
      <w:pPr>
        <w:rPr>
          <w:rFonts w:ascii="Century Gothic" w:hAnsi="Century Gothic"/>
        </w:rPr>
      </w:pPr>
    </w:p>
    <w:p w:rsidR="000D1807" w:rsidRPr="005F480C" w:rsidRDefault="000D1807" w:rsidP="000D1807">
      <w:pPr>
        <w:spacing w:after="0" w:line="240" w:lineRule="auto"/>
        <w:ind w:firstLine="180"/>
        <w:jc w:val="both"/>
        <w:rPr>
          <w:rFonts w:ascii="Century Gothic" w:hAnsi="Century Gothic"/>
        </w:rPr>
      </w:pPr>
      <w:r w:rsidRPr="005F480C">
        <w:rPr>
          <w:rFonts w:ascii="Century Gothic" w:hAnsi="Century Gothic"/>
          <w:b/>
          <w:bCs/>
          <w:color w:val="000000"/>
        </w:rPr>
        <w:lastRenderedPageBreak/>
        <w:t>Members:</w:t>
      </w:r>
      <w:r w:rsidRPr="005F480C">
        <w:rPr>
          <w:rFonts w:ascii="Century Gothic" w:hAnsi="Century Gothic"/>
          <w:b/>
          <w:bCs/>
          <w:color w:val="000000"/>
        </w:rPr>
        <w:tab/>
      </w:r>
      <w:r w:rsidRPr="005F480C">
        <w:rPr>
          <w:rFonts w:ascii="Century Gothic" w:hAnsi="Century Gothic"/>
          <w:b/>
          <w:bCs/>
          <w:color w:val="000000"/>
        </w:rPr>
        <w:tab/>
      </w:r>
      <w:r w:rsidRPr="005F480C">
        <w:rPr>
          <w:rFonts w:ascii="Century Gothic" w:hAnsi="Century Gothic"/>
          <w:b/>
          <w:bCs/>
          <w:color w:val="000000"/>
        </w:rPr>
        <w:tab/>
      </w:r>
      <w:r w:rsidRPr="005F480C">
        <w:rPr>
          <w:rFonts w:ascii="Century Gothic" w:hAnsi="Century Gothic"/>
          <w:b/>
          <w:bCs/>
          <w:color w:val="000000"/>
        </w:rPr>
        <w:tab/>
        <w:t>Staff Liaisons:</w:t>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Alex Hernandez (chair)</w:t>
      </w:r>
      <w:r w:rsidRPr="005F480C">
        <w:rPr>
          <w:rFonts w:ascii="Century Gothic" w:hAnsi="Century Gothic"/>
          <w:b/>
          <w:bCs/>
          <w:color w:val="000000"/>
        </w:rPr>
        <w:tab/>
      </w:r>
      <w:r w:rsidRPr="005F480C">
        <w:rPr>
          <w:rFonts w:ascii="Century Gothic" w:hAnsi="Century Gothic"/>
          <w:b/>
          <w:bCs/>
          <w:color w:val="000000"/>
        </w:rPr>
        <w:tab/>
        <w:t>Bill Durbin</w:t>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Dwight Jones</w:t>
      </w:r>
      <w:r>
        <w:rPr>
          <w:rFonts w:ascii="Century Gothic" w:hAnsi="Century Gothic"/>
          <w:b/>
          <w:bCs/>
          <w:color w:val="000000"/>
        </w:rPr>
        <w:tab/>
      </w:r>
      <w:r>
        <w:rPr>
          <w:rFonts w:ascii="Century Gothic" w:hAnsi="Century Gothic"/>
          <w:b/>
          <w:bCs/>
          <w:color w:val="000000"/>
        </w:rPr>
        <w:tab/>
      </w:r>
      <w:r>
        <w:rPr>
          <w:rFonts w:ascii="Century Gothic" w:hAnsi="Century Gothic"/>
          <w:b/>
          <w:bCs/>
          <w:color w:val="000000"/>
        </w:rPr>
        <w:tab/>
      </w:r>
      <w:r w:rsidRPr="005F480C">
        <w:rPr>
          <w:rFonts w:ascii="Century Gothic" w:hAnsi="Century Gothic"/>
          <w:b/>
          <w:bCs/>
          <w:color w:val="000000"/>
        </w:rPr>
        <w:t>Jake Firman</w:t>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 xml:space="preserve">Chris </w:t>
      </w:r>
      <w:proofErr w:type="spellStart"/>
      <w:r w:rsidRPr="005F480C">
        <w:rPr>
          <w:rFonts w:ascii="Century Gothic" w:hAnsi="Century Gothic"/>
          <w:b/>
          <w:bCs/>
          <w:color w:val="000000"/>
        </w:rPr>
        <w:t>Lozing</w:t>
      </w:r>
      <w:proofErr w:type="spellEnd"/>
      <w:r w:rsidRPr="005F480C">
        <w:rPr>
          <w:rFonts w:ascii="Century Gothic" w:hAnsi="Century Gothic"/>
          <w:b/>
          <w:bCs/>
          <w:color w:val="000000"/>
        </w:rPr>
        <w:tab/>
      </w:r>
      <w:r w:rsidRPr="005F480C">
        <w:rPr>
          <w:rFonts w:ascii="Century Gothic" w:hAnsi="Century Gothic"/>
          <w:b/>
          <w:bCs/>
          <w:color w:val="000000"/>
        </w:rPr>
        <w:tab/>
      </w:r>
      <w:r w:rsidRPr="005F480C">
        <w:rPr>
          <w:rFonts w:ascii="Century Gothic" w:hAnsi="Century Gothic"/>
          <w:b/>
          <w:bCs/>
          <w:color w:val="000000"/>
        </w:rPr>
        <w:tab/>
      </w:r>
      <w:r w:rsidRPr="005F480C">
        <w:rPr>
          <w:rFonts w:ascii="Century Gothic" w:hAnsi="Century Gothic"/>
          <w:b/>
          <w:bCs/>
          <w:color w:val="000000"/>
        </w:rPr>
        <w:tab/>
        <w:t xml:space="preserve">Jessica </w:t>
      </w:r>
      <w:proofErr w:type="spellStart"/>
      <w:r w:rsidRPr="005F480C">
        <w:rPr>
          <w:rFonts w:ascii="Century Gothic" w:hAnsi="Century Gothic"/>
          <w:b/>
          <w:bCs/>
          <w:color w:val="000000"/>
        </w:rPr>
        <w:t>Pallfy</w:t>
      </w:r>
      <w:proofErr w:type="spellEnd"/>
      <w:r w:rsidRPr="005F480C">
        <w:rPr>
          <w:rFonts w:ascii="Century Gothic" w:hAnsi="Century Gothic"/>
          <w:b/>
          <w:bCs/>
          <w:color w:val="000000"/>
        </w:rPr>
        <w:tab/>
      </w:r>
      <w:r w:rsidRPr="005F480C">
        <w:rPr>
          <w:rFonts w:ascii="Century Gothic" w:hAnsi="Century Gothic"/>
          <w:b/>
          <w:bCs/>
          <w:color w:val="000000"/>
        </w:rPr>
        <w:tab/>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Deborah McGriff</w:t>
      </w:r>
      <w:r w:rsidRPr="005F480C">
        <w:rPr>
          <w:rFonts w:ascii="Century Gothic" w:hAnsi="Century Gothic"/>
          <w:b/>
          <w:bCs/>
          <w:color w:val="000000"/>
        </w:rPr>
        <w:tab/>
      </w:r>
      <w:r w:rsidRPr="005F480C">
        <w:rPr>
          <w:rFonts w:ascii="Century Gothic" w:hAnsi="Century Gothic"/>
          <w:b/>
          <w:bCs/>
          <w:color w:val="000000"/>
        </w:rPr>
        <w:tab/>
      </w:r>
      <w:r w:rsidRPr="005F480C">
        <w:rPr>
          <w:rFonts w:ascii="Century Gothic" w:hAnsi="Century Gothic"/>
          <w:b/>
          <w:bCs/>
          <w:color w:val="000000"/>
        </w:rPr>
        <w:tab/>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 xml:space="preserve">Rolf </w:t>
      </w:r>
      <w:proofErr w:type="spellStart"/>
      <w:r w:rsidRPr="005F480C">
        <w:rPr>
          <w:rFonts w:ascii="Century Gothic" w:hAnsi="Century Gothic"/>
          <w:b/>
          <w:bCs/>
          <w:color w:val="000000"/>
        </w:rPr>
        <w:t>Reitzig</w:t>
      </w:r>
      <w:proofErr w:type="spellEnd"/>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Matthew Schnittman</w:t>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Jackie Sullivan</w:t>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Sean VanBerschot</w:t>
      </w:r>
    </w:p>
    <w:p w:rsidR="000D1807" w:rsidRPr="005F480C" w:rsidRDefault="000D1807" w:rsidP="000D1807">
      <w:pPr>
        <w:spacing w:after="0" w:line="240" w:lineRule="auto"/>
        <w:ind w:left="180"/>
        <w:jc w:val="both"/>
        <w:rPr>
          <w:rFonts w:ascii="Century Gothic" w:hAnsi="Century Gothic"/>
        </w:rPr>
      </w:pPr>
      <w:r w:rsidRPr="005F480C">
        <w:rPr>
          <w:rFonts w:ascii="Century Gothic" w:hAnsi="Century Gothic"/>
          <w:b/>
          <w:bCs/>
          <w:color w:val="000000"/>
        </w:rPr>
        <w:t>Scott Wiggins</w:t>
      </w:r>
    </w:p>
    <w:p w:rsidR="006769DE" w:rsidRDefault="006769DE">
      <w:bookmarkStart w:id="0" w:name="_GoBack"/>
      <w:bookmarkEnd w:id="0"/>
    </w:p>
    <w:sectPr w:rsidR="0067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23"/>
    <w:multiLevelType w:val="multilevel"/>
    <w:tmpl w:val="86AE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32DF7"/>
    <w:multiLevelType w:val="multilevel"/>
    <w:tmpl w:val="55C265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07"/>
    <w:rsid w:val="000D1807"/>
    <w:rsid w:val="0067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8308">
      <w:bodyDiv w:val="1"/>
      <w:marLeft w:val="0"/>
      <w:marRight w:val="0"/>
      <w:marTop w:val="0"/>
      <w:marBottom w:val="0"/>
      <w:divBdr>
        <w:top w:val="none" w:sz="0" w:space="0" w:color="auto"/>
        <w:left w:val="none" w:sz="0" w:space="0" w:color="auto"/>
        <w:bottom w:val="none" w:sz="0" w:space="0" w:color="auto"/>
        <w:right w:val="none" w:sz="0" w:space="0" w:color="auto"/>
      </w:divBdr>
      <w:divsChild>
        <w:div w:id="36274832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DSST</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Glenn</dc:creator>
  <cp:lastModifiedBy>Kaitlin Glenn</cp:lastModifiedBy>
  <cp:revision>1</cp:revision>
  <dcterms:created xsi:type="dcterms:W3CDTF">2016-10-17T20:26:00Z</dcterms:created>
  <dcterms:modified xsi:type="dcterms:W3CDTF">2016-10-17T20:32:00Z</dcterms:modified>
</cp:coreProperties>
</file>