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AB" w:rsidRDefault="00E11203" w:rsidP="008E61A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</w:pPr>
      <w:bookmarkStart w:id="0" w:name="_Toc490833295"/>
      <w:r w:rsidRPr="00E46C1B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 xml:space="preserve">Clauses 8.4, 8.5 and 8.6 - </w:t>
      </w:r>
      <w:r w:rsidR="008E61AB" w:rsidRPr="00E46C1B"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  <w:t>Operations - Supplier Evaluation and Control</w:t>
      </w:r>
      <w:bookmarkEnd w:id="0"/>
    </w:p>
    <w:p w:rsidR="00E46C1B" w:rsidRPr="00E46C1B" w:rsidRDefault="00E46C1B" w:rsidP="008E61A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0"/>
          <w:szCs w:val="30"/>
          <w:u w:val="single"/>
        </w:rPr>
      </w:pPr>
    </w:p>
    <w:p w:rsidR="008E61AB" w:rsidRPr="008E61AB" w:rsidRDefault="008E61AB" w:rsidP="008E61AB">
      <w:pPr>
        <w:rPr>
          <w:b/>
        </w:rPr>
      </w:pPr>
      <w:r w:rsidRPr="008E61AB">
        <w:rPr>
          <w:b/>
        </w:rPr>
        <w:t>Purpose and Scope</w:t>
      </w:r>
    </w:p>
    <w:p w:rsidR="008E61AB" w:rsidRPr="008E61AB" w:rsidRDefault="008E61AB" w:rsidP="008E61AB">
      <w:r w:rsidRPr="008E61AB">
        <w:t>To describe the process and method by which the company’s suppliers (the term also includes contractors and subcontractors) are evaluated, selected and controlled.</w:t>
      </w:r>
    </w:p>
    <w:p w:rsidR="00E46C1B" w:rsidRDefault="00E46C1B" w:rsidP="008E61AB">
      <w:pPr>
        <w:rPr>
          <w:b/>
        </w:rPr>
      </w:pPr>
    </w:p>
    <w:p w:rsidR="008E61AB" w:rsidRPr="008E61AB" w:rsidRDefault="008E61AB" w:rsidP="008E61AB">
      <w:pPr>
        <w:rPr>
          <w:b/>
        </w:rPr>
      </w:pPr>
      <w:bookmarkStart w:id="1" w:name="_GoBack"/>
      <w:bookmarkEnd w:id="1"/>
      <w:r w:rsidRPr="008E61AB">
        <w:rPr>
          <w:b/>
        </w:rPr>
        <w:t>Associated Documents</w:t>
      </w:r>
    </w:p>
    <w:p w:rsidR="008E61AB" w:rsidRPr="008E61AB" w:rsidRDefault="008E61AB" w:rsidP="008E61AB">
      <w:r w:rsidRPr="008E61AB">
        <w:t>Suppliers Module.</w:t>
      </w:r>
    </w:p>
    <w:p w:rsidR="008E61AB" w:rsidRPr="008E61AB" w:rsidRDefault="008E61AB" w:rsidP="008E61AB">
      <w:r w:rsidRPr="008E61AB">
        <w:t>Supplier Evaluation Form</w:t>
      </w:r>
    </w:p>
    <w:p w:rsidR="008E61AB" w:rsidRPr="008E61AB" w:rsidRDefault="008E61AB" w:rsidP="008E61AB">
      <w:pPr>
        <w:rPr>
          <w:b/>
        </w:rPr>
      </w:pPr>
      <w:r w:rsidRPr="008E61AB">
        <w:rPr>
          <w:b/>
        </w:rPr>
        <w:t>Procedure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The selection criteria for suppliers is as follows: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Ability and preparedness to meet IMS requirements.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Ability and capability to meet legislative obligations and relevant industry and government standards and codes.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Qualifications, experience and capability within the scope they are contracted for.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Quality, consistency and reliability of product or service provided.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Delivery performance.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Price of product or service including commercial arrangements.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Quality, environmental, health and safety management systems.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Past performance including health, safety and environmental record.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Suppliers are classified on the basis of the potential risk their products or services may pose to: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Products or services.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Workplace health and safety.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The environment.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Consideration needs to be given to whether: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Failure of the supplier to deliver agreed products or services will impact upon profitability?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Failure of the supplier to deliver agreed products or services will result in failure to meet any contractual, legislative and statutory obligations for delivery of products and services?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Supplier will introduce or potentially introduce any high risk hazards or significant environmental impacts to the workplace?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Suppliers that are identified as having the potential to significantly affect activities, products or services are deemed “critical” and must undergo a thorough documented evaluation and re-evaluation process. Non-critical suppliers are required to be evaluated but not necessarily to the same extent as those deemed to be critical. Examples of critical suppliers would include: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Suppliers of Hosting Services.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Suppliers of IT services.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The following rating system will be used for suppliers: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lastRenderedPageBreak/>
        <w:t>Critical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Approved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Approved and inducted</w:t>
      </w:r>
    </w:p>
    <w:p w:rsidR="008E61AB" w:rsidRPr="008E61AB" w:rsidRDefault="008E61AB" w:rsidP="008E61AB">
      <w:pPr>
        <w:numPr>
          <w:ilvl w:val="1"/>
          <w:numId w:val="1"/>
        </w:numPr>
        <w:contextualSpacing/>
      </w:pPr>
      <w:r w:rsidRPr="008E61AB">
        <w:t>Back-up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Where applicable, Suppliers must have current and appropriate insurance arrangements in place. Certificates of currency for required insurances are to be provided as part of the formal evaluation process.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Products and services essential to meet contract requirements shall only be purchased from qualified and approved suppliers.</w:t>
      </w:r>
    </w:p>
    <w:p w:rsidR="008E61AB" w:rsidRPr="008E61AB" w:rsidRDefault="008E61AB" w:rsidP="008E61AB">
      <w:pPr>
        <w:numPr>
          <w:ilvl w:val="0"/>
          <w:numId w:val="1"/>
        </w:numPr>
        <w:contextualSpacing/>
      </w:pPr>
      <w:r w:rsidRPr="008E61AB">
        <w:t>The details of suppliers are specified in the Suppliers Module, inclusive of their rating.</w:t>
      </w:r>
    </w:p>
    <w:p w:rsidR="008E61AB" w:rsidRPr="008E61AB" w:rsidRDefault="008E61AB" w:rsidP="008E61AB">
      <w:r w:rsidRPr="008E61AB">
        <w:t>Supplier Induction</w:t>
      </w:r>
    </w:p>
    <w:p w:rsidR="008E61AB" w:rsidRPr="008E61AB" w:rsidRDefault="008E61AB" w:rsidP="008E61AB">
      <w:pPr>
        <w:numPr>
          <w:ilvl w:val="0"/>
          <w:numId w:val="2"/>
        </w:numPr>
        <w:contextualSpacing/>
      </w:pPr>
      <w:r w:rsidRPr="008E61AB">
        <w:t>All Suppliers and their staff are to be effectively inducted, including training with respect to specific site procedure requirements. Refer to the Training, Competence and Awareness procedure for further details.</w:t>
      </w:r>
    </w:p>
    <w:p w:rsidR="008E61AB" w:rsidRPr="008E61AB" w:rsidRDefault="008E61AB" w:rsidP="008E61AB">
      <w:pPr>
        <w:numPr>
          <w:ilvl w:val="0"/>
          <w:numId w:val="2"/>
        </w:numPr>
        <w:contextualSpacing/>
      </w:pPr>
      <w:r w:rsidRPr="008E61AB">
        <w:t>A record of the induction training conducted in to be retained in Supplier Employee Module.</w:t>
      </w:r>
    </w:p>
    <w:p w:rsidR="008E61AB" w:rsidRPr="008E61AB" w:rsidRDefault="008E61AB" w:rsidP="008E61AB">
      <w:r w:rsidRPr="008E61AB">
        <w:t>Re-Evaluation</w:t>
      </w:r>
    </w:p>
    <w:p w:rsidR="008E61AB" w:rsidRPr="008E61AB" w:rsidRDefault="008E61AB" w:rsidP="008E61AB">
      <w:pPr>
        <w:numPr>
          <w:ilvl w:val="0"/>
          <w:numId w:val="3"/>
        </w:numPr>
        <w:contextualSpacing/>
      </w:pPr>
      <w:r w:rsidRPr="008E61AB">
        <w:t>Once evaluated and approved, suppliers are to be subjected to formal periodic re-evaluation. Re-evaluations are scheduled within the Supplier Module.</w:t>
      </w:r>
    </w:p>
    <w:p w:rsidR="008E61AB" w:rsidRPr="008E61AB" w:rsidRDefault="008E61AB" w:rsidP="008E61AB">
      <w:pPr>
        <w:numPr>
          <w:ilvl w:val="0"/>
          <w:numId w:val="3"/>
        </w:numPr>
        <w:contextualSpacing/>
      </w:pPr>
      <w:r w:rsidRPr="008E61AB">
        <w:t>Re-evaluation is to take place at least once every two years or sooner if reasons apply. Some reasons for early re-evaluation are:</w:t>
      </w:r>
    </w:p>
    <w:p w:rsidR="008E61AB" w:rsidRPr="008E61AB" w:rsidRDefault="008E61AB" w:rsidP="008E61AB">
      <w:pPr>
        <w:numPr>
          <w:ilvl w:val="1"/>
          <w:numId w:val="3"/>
        </w:numPr>
        <w:contextualSpacing/>
      </w:pPr>
      <w:r w:rsidRPr="008E61AB">
        <w:t>Incidents and/or poor performance involving the supplier or contractor.</w:t>
      </w:r>
    </w:p>
    <w:p w:rsidR="008E61AB" w:rsidRPr="008E61AB" w:rsidRDefault="008E61AB" w:rsidP="008E61AB">
      <w:pPr>
        <w:numPr>
          <w:ilvl w:val="1"/>
          <w:numId w:val="3"/>
        </w:numPr>
        <w:contextualSpacing/>
      </w:pPr>
      <w:r w:rsidRPr="008E61AB">
        <w:t>Change in circumstances or structure such as new ownership, or change of location or key personnel.</w:t>
      </w:r>
    </w:p>
    <w:p w:rsidR="008E61AB" w:rsidRPr="008E61AB" w:rsidRDefault="008E61AB" w:rsidP="008E61AB">
      <w:pPr>
        <w:numPr>
          <w:ilvl w:val="1"/>
          <w:numId w:val="3"/>
        </w:numPr>
        <w:contextualSpacing/>
      </w:pPr>
      <w:r w:rsidRPr="008E61AB">
        <w:t>Change in scope of services.</w:t>
      </w:r>
    </w:p>
    <w:p w:rsidR="008E61AB" w:rsidRPr="008E61AB" w:rsidRDefault="008E61AB" w:rsidP="008E61AB">
      <w:pPr>
        <w:numPr>
          <w:ilvl w:val="0"/>
          <w:numId w:val="3"/>
        </w:numPr>
        <w:contextualSpacing/>
      </w:pPr>
      <w:r w:rsidRPr="008E61AB">
        <w:t>Re-evaluation is to follow the same process as for the initial evaluation.</w:t>
      </w:r>
    </w:p>
    <w:p w:rsidR="008E61AB" w:rsidRPr="008E61AB" w:rsidRDefault="008E61AB" w:rsidP="008E61AB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8E61AB"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61AB" w:rsidRPr="008E61AB" w:rsidTr="00377178">
        <w:trPr>
          <w:trHeight w:val="357"/>
        </w:trPr>
        <w:tc>
          <w:tcPr>
            <w:tcW w:w="3005" w:type="dxa"/>
          </w:tcPr>
          <w:p w:rsidR="008E61AB" w:rsidRPr="008E61AB" w:rsidRDefault="008E61AB" w:rsidP="008E61AB">
            <w:pPr>
              <w:rPr>
                <w:b/>
              </w:rPr>
            </w:pPr>
            <w:r w:rsidRPr="008E61AB">
              <w:rPr>
                <w:b/>
              </w:rPr>
              <w:t>ISO 9001</w:t>
            </w:r>
          </w:p>
        </w:tc>
        <w:tc>
          <w:tcPr>
            <w:tcW w:w="3005" w:type="dxa"/>
          </w:tcPr>
          <w:p w:rsidR="008E61AB" w:rsidRPr="008E61AB" w:rsidRDefault="008E61AB" w:rsidP="008E61AB">
            <w:pPr>
              <w:rPr>
                <w:b/>
              </w:rPr>
            </w:pPr>
            <w:r w:rsidRPr="008E61AB">
              <w:rPr>
                <w:b/>
              </w:rPr>
              <w:t>ISO 14001</w:t>
            </w:r>
          </w:p>
        </w:tc>
        <w:tc>
          <w:tcPr>
            <w:tcW w:w="3006" w:type="dxa"/>
          </w:tcPr>
          <w:p w:rsidR="008E61AB" w:rsidRPr="008E61AB" w:rsidRDefault="008E61AB" w:rsidP="008E61AB">
            <w:pPr>
              <w:rPr>
                <w:b/>
              </w:rPr>
            </w:pPr>
            <w:r w:rsidRPr="008E61AB">
              <w:rPr>
                <w:b/>
              </w:rPr>
              <w:t>ISO 45001</w:t>
            </w:r>
          </w:p>
        </w:tc>
      </w:tr>
      <w:tr w:rsidR="008E61AB" w:rsidRPr="008E61AB" w:rsidTr="00377178">
        <w:tc>
          <w:tcPr>
            <w:tcW w:w="3005" w:type="dxa"/>
          </w:tcPr>
          <w:p w:rsidR="008E61AB" w:rsidRPr="008E61AB" w:rsidRDefault="008E61AB" w:rsidP="008E61AB">
            <w:r w:rsidRPr="008E61AB">
              <w:t>8.4, 8.5, 8.6</w:t>
            </w:r>
          </w:p>
        </w:tc>
        <w:tc>
          <w:tcPr>
            <w:tcW w:w="3005" w:type="dxa"/>
          </w:tcPr>
          <w:p w:rsidR="008E61AB" w:rsidRPr="008E61AB" w:rsidRDefault="008E61AB" w:rsidP="008E61AB">
            <w:r w:rsidRPr="008E61AB">
              <w:t>8.1</w:t>
            </w:r>
          </w:p>
        </w:tc>
        <w:tc>
          <w:tcPr>
            <w:tcW w:w="3006" w:type="dxa"/>
          </w:tcPr>
          <w:p w:rsidR="008E61AB" w:rsidRPr="008E61AB" w:rsidRDefault="008E61AB" w:rsidP="008E61AB">
            <w:r w:rsidRPr="008E61AB">
              <w:t>8.3, 8.4, 8.5</w:t>
            </w:r>
          </w:p>
        </w:tc>
      </w:tr>
    </w:tbl>
    <w:p w:rsidR="009E0B71" w:rsidRDefault="009E0B71"/>
    <w:sectPr w:rsidR="009E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38" w:rsidRDefault="006E0038" w:rsidP="00C4078F">
      <w:pPr>
        <w:spacing w:after="0" w:line="240" w:lineRule="auto"/>
      </w:pPr>
      <w:r>
        <w:separator/>
      </w:r>
    </w:p>
  </w:endnote>
  <w:endnote w:type="continuationSeparator" w:id="0">
    <w:p w:rsidR="006E0038" w:rsidRDefault="006E0038" w:rsidP="00C4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Footer"/>
    </w:pPr>
    <w:r>
      <w:rPr>
        <w:rFonts w:ascii="Calibri" w:eastAsia="Times New Roman" w:hAnsi="Calibri" w:cs="Times New Roman"/>
        <w:noProof/>
        <w:sz w:val="20"/>
        <w:szCs w:val="20"/>
        <w:lang w:eastAsia="en-NZ"/>
      </w:rPr>
      <w:drawing>
        <wp:inline distT="0" distB="0" distL="0" distR="0">
          <wp:extent cx="809625" cy="390525"/>
          <wp:effectExtent l="0" t="0" r="9525" b="9525"/>
          <wp:docPr id="1" name="Picture 1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20"/>
        <w:szCs w:val="20"/>
        <w:lang w:val="en-AU" w:eastAsia="en-NZ"/>
      </w:rPr>
      <w:t xml:space="preserve">                                          </w:t>
    </w:r>
    <w:r>
      <w:rPr>
        <w:rFonts w:ascii="Calibri" w:eastAsia="Times New Roman" w:hAnsi="Calibri" w:cs="Times New Roman"/>
        <w:sz w:val="18"/>
        <w:szCs w:val="20"/>
        <w:lang w:val="en-AU" w:eastAsia="en-NZ"/>
      </w:rPr>
      <w:t>© 2015, Mango Ltd.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38" w:rsidRDefault="006E0038" w:rsidP="00C4078F">
      <w:pPr>
        <w:spacing w:after="0" w:line="240" w:lineRule="auto"/>
      </w:pPr>
      <w:r>
        <w:separator/>
      </w:r>
    </w:p>
  </w:footnote>
  <w:footnote w:type="continuationSeparator" w:id="0">
    <w:p w:rsidR="006E0038" w:rsidRDefault="006E0038" w:rsidP="00C4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8F" w:rsidRDefault="00C40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1A76"/>
    <w:multiLevelType w:val="hybridMultilevel"/>
    <w:tmpl w:val="45623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10B0"/>
    <w:multiLevelType w:val="hybridMultilevel"/>
    <w:tmpl w:val="FB5220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85F4A"/>
    <w:multiLevelType w:val="hybridMultilevel"/>
    <w:tmpl w:val="4B1E3E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AB"/>
    <w:rsid w:val="001D0A0A"/>
    <w:rsid w:val="006E0038"/>
    <w:rsid w:val="008E61AB"/>
    <w:rsid w:val="009E0B71"/>
    <w:rsid w:val="00A60332"/>
    <w:rsid w:val="00C4078F"/>
    <w:rsid w:val="00E11203"/>
    <w:rsid w:val="00E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AA74B-6AB7-467C-B875-7AEF436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8F"/>
  </w:style>
  <w:style w:type="paragraph" w:styleId="Footer">
    <w:name w:val="footer"/>
    <w:basedOn w:val="Normal"/>
    <w:link w:val="FooterChar"/>
    <w:uiPriority w:val="99"/>
    <w:unhideWhenUsed/>
    <w:rsid w:val="00C4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2017-09-25T03:15:00Z</dcterms:created>
  <dcterms:modified xsi:type="dcterms:W3CDTF">2017-10-03T03:37:00Z</dcterms:modified>
</cp:coreProperties>
</file>